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98B5" w14:textId="77777777" w:rsidR="00227F50" w:rsidRPr="00227F50" w:rsidRDefault="00227F50" w:rsidP="00227F50">
      <w:pPr>
        <w:spacing w:after="15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12"/>
          <w:szCs w:val="12"/>
          <w:bdr w:val="none" w:sz="0" w:space="0" w:color="auto" w:frame="1"/>
          <w:lang w:eastAsia="en-GB"/>
        </w:rPr>
        <w:drawing>
          <wp:inline distT="0" distB="0" distL="0" distR="0" wp14:anchorId="6594C86B" wp14:editId="17D98E02">
            <wp:extent cx="609600" cy="609600"/>
            <wp:effectExtent l="0" t="0" r="0" b="0"/>
            <wp:docPr id="10" name="Picture 10" descr="http://api.ning.com/files/iHTeMy8PBD0AjVUekgZGG9KUzIakzX307U8bfmP3ejmErH85P9D5sdG2hJgzKnh*EKog5TVxCkJHqSCPXOirA6UKmW2V1-AQ/1250659242.jpeg?xgip=0%3A0%3A955%3A955%3B%3B&amp;width=64&amp;height=64&amp;crop=1%3A1">
              <a:hlinkClick xmlns:a="http://schemas.openxmlformats.org/drawingml/2006/main" r:id="rId5" tooltip="Achilles Kame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HTeMy8PBD0AjVUekgZGG9KUzIakzX307U8bfmP3ejmErH85P9D5sdG2hJgzKnh*EKog5TVxCkJHqSCPXOirA6UKmW2V1-AQ/1250659242.jpeg?xgip=0%3A0%3A955%3A955%3B%3B&amp;width=64&amp;height=64&amp;crop=1%3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70DF4F56" w14:textId="77777777" w:rsidR="00227F50" w:rsidRPr="00227F50" w:rsidRDefault="00227F50" w:rsidP="00227F50">
      <w:pPr>
        <w:spacing w:after="0" w:line="396" w:lineRule="atLeast"/>
        <w:textAlignment w:val="baseline"/>
        <w:outlineLvl w:val="0"/>
        <w:rPr>
          <w:rFonts w:ascii="&amp;quot" w:eastAsia="Times New Roman" w:hAnsi="&amp;quot" w:cs="Times New Roman"/>
          <w:b/>
          <w:bCs/>
          <w:color w:val="302683"/>
          <w:kern w:val="36"/>
          <w:sz w:val="36"/>
          <w:szCs w:val="36"/>
          <w:lang w:eastAsia="en-GB"/>
        </w:rPr>
      </w:pPr>
      <w:proofErr w:type="spellStart"/>
      <w:r w:rsidRPr="00227F50">
        <w:rPr>
          <w:rFonts w:ascii="&amp;quot" w:eastAsia="Times New Roman" w:hAnsi="&amp;quot" w:cs="Times New Roman"/>
          <w:b/>
          <w:bCs/>
          <w:color w:val="302683"/>
          <w:kern w:val="36"/>
          <w:sz w:val="36"/>
          <w:szCs w:val="36"/>
          <w:lang w:eastAsia="en-GB"/>
        </w:rPr>
        <w:t>LinguaCuisine</w:t>
      </w:r>
      <w:proofErr w:type="spellEnd"/>
      <w:r w:rsidRPr="00227F50">
        <w:rPr>
          <w:rFonts w:ascii="&amp;quot" w:eastAsia="Times New Roman" w:hAnsi="&amp;quot" w:cs="Times New Roman"/>
          <w:b/>
          <w:bCs/>
          <w:color w:val="302683"/>
          <w:kern w:val="36"/>
          <w:sz w:val="36"/>
          <w:szCs w:val="36"/>
          <w:lang w:eastAsia="en-GB"/>
        </w:rPr>
        <w:t>: Certification of digital skills acquired through ... cooking</w:t>
      </w:r>
    </w:p>
    <w:p w14:paraId="41F3928C" w14:textId="77777777" w:rsidR="00227F50" w:rsidRPr="00227F50" w:rsidRDefault="00227F50" w:rsidP="00227F50">
      <w:pPr>
        <w:numPr>
          <w:ilvl w:val="0"/>
          <w:numId w:val="1"/>
        </w:numPr>
        <w:spacing w:after="0" w:line="252" w:lineRule="atLeast"/>
        <w:ind w:left="1215" w:right="150"/>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Posted by </w:t>
      </w:r>
      <w:hyperlink r:id="rId7" w:history="1">
        <w:r w:rsidRPr="00227F50">
          <w:rPr>
            <w:rFonts w:ascii="&amp;quot" w:eastAsia="Times New Roman" w:hAnsi="&amp;quot" w:cs="Times New Roman"/>
            <w:color w:val="302683"/>
            <w:sz w:val="21"/>
            <w:szCs w:val="21"/>
            <w:u w:val="single"/>
            <w:bdr w:val="none" w:sz="0" w:space="0" w:color="auto" w:frame="1"/>
            <w:lang w:eastAsia="en-GB"/>
          </w:rPr>
          <w:t>Achilles Kameas</w:t>
        </w:r>
      </w:hyperlink>
      <w:r w:rsidRPr="00227F50">
        <w:rPr>
          <w:rFonts w:ascii="&amp;quot" w:eastAsia="Times New Roman" w:hAnsi="&amp;quot" w:cs="Times New Roman"/>
          <w:color w:val="0A0A0A"/>
          <w:sz w:val="21"/>
          <w:szCs w:val="21"/>
          <w:lang w:eastAsia="en-GB"/>
        </w:rPr>
        <w:t xml:space="preserve"> on November 24, 2018 at 23:11</w:t>
      </w:r>
    </w:p>
    <w:p w14:paraId="3849EBE3" w14:textId="77777777" w:rsidR="00227F50" w:rsidRPr="00227F50" w:rsidRDefault="00227F50" w:rsidP="00227F50">
      <w:pPr>
        <w:numPr>
          <w:ilvl w:val="0"/>
          <w:numId w:val="1"/>
        </w:numPr>
        <w:spacing w:line="252" w:lineRule="atLeast"/>
        <w:ind w:left="1215" w:right="150"/>
        <w:textAlignment w:val="baseline"/>
        <w:rPr>
          <w:rFonts w:ascii="&amp;quot" w:eastAsia="Times New Roman" w:hAnsi="&amp;quot" w:cs="Times New Roman"/>
          <w:color w:val="0A0A0A"/>
          <w:sz w:val="21"/>
          <w:szCs w:val="21"/>
          <w:lang w:eastAsia="en-GB"/>
        </w:rPr>
      </w:pPr>
      <w:hyperlink r:id="rId8" w:history="1">
        <w:r w:rsidRPr="00227F50">
          <w:rPr>
            <w:rFonts w:ascii="&amp;quot" w:eastAsia="Times New Roman" w:hAnsi="&amp;quot" w:cs="Times New Roman"/>
            <w:color w:val="302683"/>
            <w:sz w:val="21"/>
            <w:szCs w:val="21"/>
            <w:u w:val="single"/>
            <w:bdr w:val="none" w:sz="0" w:space="0" w:color="auto" w:frame="1"/>
            <w:lang w:eastAsia="en-GB"/>
          </w:rPr>
          <w:t>View Blog</w:t>
        </w:r>
      </w:hyperlink>
    </w:p>
    <w:p w14:paraId="06EB33F1"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1029B41A" wp14:editId="2AEF06F7">
            <wp:extent cx="2714625" cy="1819275"/>
            <wp:effectExtent l="0" t="0" r="9525" b="9525"/>
            <wp:docPr id="9" name="Picture 9" descr="https://storage.ning.com/topology/rest/1.0/file/get/137029710?profile=origina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ning.com/topology/rest/1.0/file/get/137029710?profile=origina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819275"/>
                    </a:xfrm>
                    <a:prstGeom prst="rect">
                      <a:avLst/>
                    </a:prstGeom>
                    <a:noFill/>
                    <a:ln>
                      <a:noFill/>
                    </a:ln>
                  </pic:spPr>
                </pic:pic>
              </a:graphicData>
            </a:graphic>
          </wp:inline>
        </w:drawing>
      </w:r>
      <w:r w:rsidRPr="00227F50">
        <w:rPr>
          <w:rFonts w:ascii="&amp;quot" w:eastAsia="Times New Roman" w:hAnsi="&amp;quot" w:cs="Times New Roman"/>
          <w:color w:val="0A0A0A"/>
          <w:sz w:val="21"/>
          <w:szCs w:val="21"/>
          <w:lang w:eastAsia="en-GB"/>
        </w:rPr>
        <w:t xml:space="preserve">The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 project (</w:t>
      </w:r>
      <w:hyperlink r:id="rId11" w:history="1">
        <w:r w:rsidRPr="00227F50">
          <w:rPr>
            <w:rFonts w:ascii="&amp;quot" w:eastAsia="Times New Roman" w:hAnsi="&amp;quot" w:cs="Times New Roman"/>
            <w:color w:val="302683"/>
            <w:sz w:val="21"/>
            <w:szCs w:val="21"/>
            <w:u w:val="single"/>
            <w:bdr w:val="none" w:sz="0" w:space="0" w:color="auto" w:frame="1"/>
            <w:lang w:eastAsia="en-GB"/>
          </w:rPr>
          <w:t>https://linguacuisine.com/</w:t>
        </w:r>
      </w:hyperlink>
      <w:r w:rsidRPr="00227F50">
        <w:rPr>
          <w:rFonts w:ascii="&amp;quot" w:eastAsia="Times New Roman" w:hAnsi="&amp;quot" w:cs="Times New Roman"/>
          <w:color w:val="0A0A0A"/>
          <w:sz w:val="21"/>
          <w:szCs w:val="21"/>
          <w:lang w:eastAsia="en-GB"/>
        </w:rPr>
        <w:t xml:space="preserve">) promotes digital literacy and learning of languages, cuisines and cultures. The project was a collaboration between Newcastle University, Action Foundation (UK), Hellenic Open University (Greece), </w:t>
      </w:r>
      <w:proofErr w:type="spellStart"/>
      <w:r w:rsidRPr="00227F50">
        <w:rPr>
          <w:rFonts w:ascii="&amp;quot" w:eastAsia="Times New Roman" w:hAnsi="&amp;quot" w:cs="Times New Roman"/>
          <w:color w:val="0A0A0A"/>
          <w:sz w:val="21"/>
          <w:szCs w:val="21"/>
          <w:lang w:eastAsia="en-GB"/>
        </w:rPr>
        <w:t>Università</w:t>
      </w:r>
      <w:proofErr w:type="spellEnd"/>
      <w:r w:rsidRPr="00227F50">
        <w:rPr>
          <w:rFonts w:ascii="&amp;quot" w:eastAsia="Times New Roman" w:hAnsi="&amp;quot" w:cs="Times New Roman"/>
          <w:color w:val="0A0A0A"/>
          <w:sz w:val="21"/>
          <w:szCs w:val="21"/>
          <w:lang w:eastAsia="en-GB"/>
        </w:rPr>
        <w:t xml:space="preserve"> </w:t>
      </w:r>
      <w:proofErr w:type="spellStart"/>
      <w:r w:rsidRPr="00227F50">
        <w:rPr>
          <w:rFonts w:ascii="&amp;quot" w:eastAsia="Times New Roman" w:hAnsi="&amp;quot" w:cs="Times New Roman"/>
          <w:color w:val="0A0A0A"/>
          <w:sz w:val="21"/>
          <w:szCs w:val="21"/>
          <w:lang w:eastAsia="en-GB"/>
        </w:rPr>
        <w:t>degli</w:t>
      </w:r>
      <w:proofErr w:type="spellEnd"/>
      <w:r w:rsidRPr="00227F50">
        <w:rPr>
          <w:rFonts w:ascii="&amp;quot" w:eastAsia="Times New Roman" w:hAnsi="&amp;quot" w:cs="Times New Roman"/>
          <w:color w:val="0A0A0A"/>
          <w:sz w:val="21"/>
          <w:szCs w:val="21"/>
          <w:lang w:eastAsia="en-GB"/>
        </w:rPr>
        <w:t xml:space="preserve"> </w:t>
      </w:r>
      <w:proofErr w:type="spellStart"/>
      <w:r w:rsidRPr="00227F50">
        <w:rPr>
          <w:rFonts w:ascii="&amp;quot" w:eastAsia="Times New Roman" w:hAnsi="&amp;quot" w:cs="Times New Roman"/>
          <w:color w:val="0A0A0A"/>
          <w:sz w:val="21"/>
          <w:szCs w:val="21"/>
          <w:lang w:eastAsia="en-GB"/>
        </w:rPr>
        <w:t>Studi</w:t>
      </w:r>
      <w:proofErr w:type="spellEnd"/>
      <w:r w:rsidRPr="00227F50">
        <w:rPr>
          <w:rFonts w:ascii="&amp;quot" w:eastAsia="Times New Roman" w:hAnsi="&amp;quot" w:cs="Times New Roman"/>
          <w:color w:val="0A0A0A"/>
          <w:sz w:val="21"/>
          <w:szCs w:val="21"/>
          <w:lang w:eastAsia="en-GB"/>
        </w:rPr>
        <w:t xml:space="preserve"> di Modena e Reggio Emilia (Italy) and the Workers’ Educational Association (UK), funded by an Erasmus+ KA2 Strategic Partnership grant.</w:t>
      </w:r>
    </w:p>
    <w:p w14:paraId="08345B2D"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The project produced a downloadable tablet and smartphone app (android and </w:t>
      </w:r>
      <w:proofErr w:type="spellStart"/>
      <w:r w:rsidRPr="00227F50">
        <w:rPr>
          <w:rFonts w:ascii="&amp;quot" w:eastAsia="Times New Roman" w:hAnsi="&amp;quot" w:cs="Times New Roman"/>
          <w:color w:val="0A0A0A"/>
          <w:sz w:val="21"/>
          <w:szCs w:val="21"/>
          <w:lang w:eastAsia="en-GB"/>
        </w:rPr>
        <w:t>iphone</w:t>
      </w:r>
      <w:proofErr w:type="spellEnd"/>
      <w:r w:rsidRPr="00227F50">
        <w:rPr>
          <w:rFonts w:ascii="&amp;quot" w:eastAsia="Times New Roman" w:hAnsi="&amp;quot" w:cs="Times New Roman"/>
          <w:color w:val="0A0A0A"/>
          <w:sz w:val="21"/>
          <w:szCs w:val="21"/>
          <w:lang w:eastAsia="en-GB"/>
        </w:rPr>
        <w:t xml:space="preserve">) which enables users to be guided through cooking a recipe in six official EU languages. You can download the apps here </w:t>
      </w:r>
      <w:hyperlink r:id="rId12" w:history="1">
        <w:r w:rsidRPr="00227F50">
          <w:rPr>
            <w:rFonts w:ascii="&amp;quot" w:eastAsia="Times New Roman" w:hAnsi="&amp;quot" w:cs="Times New Roman"/>
            <w:color w:val="302683"/>
            <w:sz w:val="21"/>
            <w:szCs w:val="21"/>
            <w:u w:val="single"/>
            <w:bdr w:val="none" w:sz="0" w:space="0" w:color="auto" w:frame="1"/>
            <w:lang w:eastAsia="en-GB"/>
          </w:rPr>
          <w:t>https://linguacuisine.com/app/</w:t>
        </w:r>
      </w:hyperlink>
      <w:r w:rsidRPr="00227F50">
        <w:rPr>
          <w:rFonts w:ascii="&amp;quot" w:eastAsia="Times New Roman" w:hAnsi="&amp;quot" w:cs="Times New Roman"/>
          <w:color w:val="0A0A0A"/>
          <w:sz w:val="21"/>
          <w:szCs w:val="21"/>
          <w:lang w:eastAsia="en-GB"/>
        </w:rPr>
        <w:t>.</w:t>
      </w:r>
    </w:p>
    <w:p w14:paraId="5B9A90C8"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App users created an online community of practice with access to online recipes. You can join the community here </w:t>
      </w:r>
      <w:hyperlink r:id="rId13" w:history="1">
        <w:r w:rsidRPr="00227F50">
          <w:rPr>
            <w:rFonts w:ascii="&amp;quot" w:eastAsia="Times New Roman" w:hAnsi="&amp;quot" w:cs="Times New Roman"/>
            <w:color w:val="302683"/>
            <w:sz w:val="21"/>
            <w:szCs w:val="21"/>
            <w:u w:val="single"/>
            <w:bdr w:val="none" w:sz="0" w:space="0" w:color="auto" w:frame="1"/>
            <w:lang w:eastAsia="en-GB"/>
          </w:rPr>
          <w:t>https://linguacuisine.com/online-community/</w:t>
        </w:r>
      </w:hyperlink>
      <w:r w:rsidRPr="00227F50">
        <w:rPr>
          <w:rFonts w:ascii="&amp;quot" w:eastAsia="Times New Roman" w:hAnsi="&amp;quot" w:cs="Times New Roman"/>
          <w:color w:val="0A0A0A"/>
          <w:sz w:val="21"/>
          <w:szCs w:val="21"/>
          <w:lang w:eastAsia="en-GB"/>
        </w:rPr>
        <w:t xml:space="preserve"> and learn aspects of a foreign languages, cuisines and cultures by using the apps.</w:t>
      </w:r>
    </w:p>
    <w:p w14:paraId="53B134C7"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In addition, the project produced a certification system for the digital competences that community members develop. The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 Certification System v.1.2 (LCCS) was created by researchers of the </w:t>
      </w:r>
      <w:proofErr w:type="spellStart"/>
      <w:r w:rsidRPr="00227F50">
        <w:rPr>
          <w:rFonts w:ascii="&amp;quot" w:eastAsia="Times New Roman" w:hAnsi="&amp;quot" w:cs="Times New Roman"/>
          <w:color w:val="0A0A0A"/>
          <w:sz w:val="21"/>
          <w:szCs w:val="21"/>
          <w:lang w:eastAsia="en-GB"/>
        </w:rPr>
        <w:t>DAISSy</w:t>
      </w:r>
      <w:proofErr w:type="spellEnd"/>
      <w:r w:rsidRPr="00227F50">
        <w:rPr>
          <w:rFonts w:ascii="&amp;quot" w:eastAsia="Times New Roman" w:hAnsi="&amp;quot" w:cs="Times New Roman"/>
          <w:color w:val="0A0A0A"/>
          <w:sz w:val="21"/>
          <w:szCs w:val="21"/>
          <w:lang w:eastAsia="en-GB"/>
        </w:rPr>
        <w:t xml:space="preserve"> research group at Hellenic Open University (</w:t>
      </w:r>
      <w:hyperlink r:id="rId14" w:history="1">
        <w:r w:rsidRPr="00227F50">
          <w:rPr>
            <w:rFonts w:ascii="&amp;quot" w:eastAsia="Times New Roman" w:hAnsi="&amp;quot" w:cs="Times New Roman"/>
            <w:color w:val="302683"/>
            <w:sz w:val="21"/>
            <w:szCs w:val="21"/>
            <w:u w:val="single"/>
            <w:bdr w:val="none" w:sz="0" w:space="0" w:color="auto" w:frame="1"/>
            <w:lang w:eastAsia="en-GB"/>
          </w:rPr>
          <w:t>http://daissy.eap.gr/en/</w:t>
        </w:r>
      </w:hyperlink>
      <w:r w:rsidRPr="00227F50">
        <w:rPr>
          <w:rFonts w:ascii="&amp;quot" w:eastAsia="Times New Roman" w:hAnsi="&amp;quot" w:cs="Times New Roman"/>
          <w:color w:val="0A0A0A"/>
          <w:sz w:val="21"/>
          <w:szCs w:val="21"/>
          <w:lang w:eastAsia="en-GB"/>
        </w:rPr>
        <w:t xml:space="preserve">) and outlines the rules, procedures and management for carrying out certification of a specific subset of competences of the </w:t>
      </w:r>
      <w:proofErr w:type="spellStart"/>
      <w:r w:rsidRPr="00227F50">
        <w:rPr>
          <w:rFonts w:ascii="&amp;quot" w:eastAsia="Times New Roman" w:hAnsi="&amp;quot" w:cs="Times New Roman"/>
          <w:color w:val="0A0A0A"/>
          <w:sz w:val="21"/>
          <w:szCs w:val="21"/>
          <w:lang w:eastAsia="en-GB"/>
        </w:rPr>
        <w:t>DigComp</w:t>
      </w:r>
      <w:proofErr w:type="spellEnd"/>
      <w:r w:rsidRPr="00227F50">
        <w:rPr>
          <w:rFonts w:ascii="&amp;quot" w:eastAsia="Times New Roman" w:hAnsi="&amp;quot" w:cs="Times New Roman"/>
          <w:color w:val="0A0A0A"/>
          <w:sz w:val="21"/>
          <w:szCs w:val="21"/>
          <w:lang w:eastAsia="en-GB"/>
        </w:rPr>
        <w:t xml:space="preserve"> 2.1 framework. It establishes specific requirements for the process used, tools of assessment, grading and certificate awarding procedures.</w:t>
      </w:r>
    </w:p>
    <w:p w14:paraId="50429441"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w:t>
      </w:r>
    </w:p>
    <w:p w14:paraId="253E52EA"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u w:val="single"/>
          <w:bdr w:val="none" w:sz="0" w:space="0" w:color="auto" w:frame="1"/>
          <w:lang w:eastAsia="en-GB"/>
        </w:rPr>
        <w:t>Dimensions of certification</w:t>
      </w:r>
    </w:p>
    <w:p w14:paraId="62FF918E"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LCCS follows the structure of </w:t>
      </w:r>
      <w:proofErr w:type="spellStart"/>
      <w:r w:rsidRPr="00227F50">
        <w:rPr>
          <w:rFonts w:ascii="&amp;quot" w:eastAsia="Times New Roman" w:hAnsi="&amp;quot" w:cs="Times New Roman"/>
          <w:color w:val="0A0A0A"/>
          <w:sz w:val="21"/>
          <w:szCs w:val="21"/>
          <w:lang w:eastAsia="en-GB"/>
        </w:rPr>
        <w:t>DigComp</w:t>
      </w:r>
      <w:proofErr w:type="spellEnd"/>
      <w:r w:rsidRPr="00227F50">
        <w:rPr>
          <w:rFonts w:ascii="&amp;quot" w:eastAsia="Times New Roman" w:hAnsi="&amp;quot" w:cs="Times New Roman"/>
          <w:color w:val="0A0A0A"/>
          <w:sz w:val="21"/>
          <w:szCs w:val="21"/>
          <w:lang w:eastAsia="en-GB"/>
        </w:rPr>
        <w:t xml:space="preserve"> 2.1:</w:t>
      </w: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2EEAEA14" wp14:editId="0522CB86">
            <wp:extent cx="1485900" cy="1485900"/>
            <wp:effectExtent l="0" t="0" r="0" b="0"/>
            <wp:docPr id="8" name="Picture 8" descr="https://storage.ning.com/topology/rest/1.0/file/get/137029921?profile=origina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ning.com/topology/rest/1.0/file/get/137029921?profile=original">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17FD76C" w14:textId="77777777" w:rsidR="00227F50" w:rsidRPr="00227F50" w:rsidRDefault="00227F50" w:rsidP="00227F50">
      <w:pPr>
        <w:spacing w:after="0" w:line="277" w:lineRule="atLeast"/>
        <w:textAlignment w:val="baseline"/>
        <w:outlineLvl w:val="2"/>
        <w:rPr>
          <w:rFonts w:ascii="&amp;quot" w:eastAsia="Times New Roman" w:hAnsi="&amp;quot" w:cs="Times New Roman"/>
          <w:b/>
          <w:bCs/>
          <w:color w:val="302683"/>
          <w:sz w:val="25"/>
          <w:szCs w:val="25"/>
          <w:lang w:eastAsia="en-GB"/>
        </w:rPr>
      </w:pPr>
      <w:r w:rsidRPr="00227F50">
        <w:rPr>
          <w:rFonts w:ascii="&amp;quot" w:eastAsia="Times New Roman" w:hAnsi="&amp;quot" w:cs="Times New Roman"/>
          <w:b/>
          <w:bCs/>
          <w:color w:val="302683"/>
          <w:sz w:val="20"/>
          <w:szCs w:val="20"/>
          <w:bdr w:val="none" w:sz="0" w:space="0" w:color="auto" w:frame="1"/>
          <w:lang w:eastAsia="en-GB"/>
        </w:rPr>
        <w:t>Dimension 1: Competence Areas</w:t>
      </w:r>
    </w:p>
    <w:p w14:paraId="2077EDC1"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This dimension uses 3 out of 5 </w:t>
      </w:r>
      <w:proofErr w:type="spellStart"/>
      <w:r w:rsidRPr="00227F50">
        <w:rPr>
          <w:rFonts w:ascii="&amp;quot" w:eastAsia="Times New Roman" w:hAnsi="&amp;quot" w:cs="Times New Roman"/>
          <w:color w:val="0A0A0A"/>
          <w:sz w:val="21"/>
          <w:szCs w:val="21"/>
          <w:lang w:eastAsia="en-GB"/>
        </w:rPr>
        <w:t>DigComp</w:t>
      </w:r>
      <w:proofErr w:type="spellEnd"/>
      <w:r w:rsidRPr="00227F50">
        <w:rPr>
          <w:rFonts w:ascii="&amp;quot" w:eastAsia="Times New Roman" w:hAnsi="&amp;quot" w:cs="Times New Roman"/>
          <w:color w:val="0A0A0A"/>
          <w:sz w:val="21"/>
          <w:szCs w:val="21"/>
          <w:lang w:eastAsia="en-GB"/>
        </w:rPr>
        <w:t xml:space="preserve"> Competence areas, namely:</w:t>
      </w:r>
    </w:p>
    <w:p w14:paraId="33E8BC56" w14:textId="77777777" w:rsidR="00227F50" w:rsidRPr="00227F50" w:rsidRDefault="00227F50" w:rsidP="00227F50">
      <w:pPr>
        <w:numPr>
          <w:ilvl w:val="0"/>
          <w:numId w:val="2"/>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 area 1: information and data literacy</w:t>
      </w:r>
    </w:p>
    <w:p w14:paraId="028E0F91" w14:textId="77777777" w:rsidR="00227F50" w:rsidRPr="00227F50" w:rsidRDefault="00227F50" w:rsidP="00227F50">
      <w:pPr>
        <w:numPr>
          <w:ilvl w:val="0"/>
          <w:numId w:val="2"/>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 area 2: communication and collaboration</w:t>
      </w:r>
    </w:p>
    <w:p w14:paraId="1EF7E11E" w14:textId="77777777" w:rsidR="00227F50" w:rsidRPr="00227F50" w:rsidRDefault="00227F50" w:rsidP="00227F50">
      <w:pPr>
        <w:numPr>
          <w:ilvl w:val="0"/>
          <w:numId w:val="2"/>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lastRenderedPageBreak/>
        <w:t>Competence area 3: digital content creation</w:t>
      </w:r>
    </w:p>
    <w:p w14:paraId="2683F6E9" w14:textId="77777777" w:rsidR="00227F50" w:rsidRPr="00227F50" w:rsidRDefault="00227F50" w:rsidP="00227F50">
      <w:pPr>
        <w:spacing w:after="0" w:line="277" w:lineRule="atLeast"/>
        <w:textAlignment w:val="baseline"/>
        <w:outlineLvl w:val="2"/>
        <w:rPr>
          <w:rFonts w:ascii="&amp;quot" w:eastAsia="Times New Roman" w:hAnsi="&amp;quot" w:cs="Times New Roman"/>
          <w:b/>
          <w:bCs/>
          <w:color w:val="302683"/>
          <w:sz w:val="25"/>
          <w:szCs w:val="25"/>
          <w:lang w:eastAsia="en-GB"/>
        </w:rPr>
      </w:pPr>
      <w:r w:rsidRPr="00227F50">
        <w:rPr>
          <w:rFonts w:ascii="&amp;quot" w:eastAsia="Times New Roman" w:hAnsi="&amp;quot" w:cs="Times New Roman"/>
          <w:b/>
          <w:bCs/>
          <w:color w:val="302683"/>
          <w:sz w:val="20"/>
          <w:szCs w:val="20"/>
          <w:bdr w:val="none" w:sz="0" w:space="0" w:color="auto" w:frame="1"/>
          <w:lang w:eastAsia="en-GB"/>
        </w:rPr>
        <w:t>Dimension 2: Competences</w:t>
      </w:r>
    </w:p>
    <w:p w14:paraId="2FA4018E"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This dimension uses 7 out of 13 </w:t>
      </w:r>
      <w:proofErr w:type="spellStart"/>
      <w:r w:rsidRPr="00227F50">
        <w:rPr>
          <w:rFonts w:ascii="&amp;quot" w:eastAsia="Times New Roman" w:hAnsi="&amp;quot" w:cs="Times New Roman"/>
          <w:color w:val="0A0A0A"/>
          <w:sz w:val="21"/>
          <w:szCs w:val="21"/>
          <w:lang w:eastAsia="en-GB"/>
        </w:rPr>
        <w:t>DigComp</w:t>
      </w:r>
      <w:proofErr w:type="spellEnd"/>
      <w:r w:rsidRPr="00227F50">
        <w:rPr>
          <w:rFonts w:ascii="&amp;quot" w:eastAsia="Times New Roman" w:hAnsi="&amp;quot" w:cs="Times New Roman"/>
          <w:color w:val="0A0A0A"/>
          <w:sz w:val="21"/>
          <w:szCs w:val="21"/>
          <w:lang w:eastAsia="en-GB"/>
        </w:rPr>
        <w:t xml:space="preserve"> Competence descriptors for the 3 Competence Areas covered, namely:</w:t>
      </w:r>
    </w:p>
    <w:p w14:paraId="41DC698F"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 Area 1: Information and data literacy</w:t>
      </w:r>
    </w:p>
    <w:p w14:paraId="3FCA6149"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1.1 Browsing, searching, filtering data, information and digital content</w:t>
      </w:r>
    </w:p>
    <w:p w14:paraId="520316DE"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1.2 Evaluating data, information and digital content</w:t>
      </w:r>
    </w:p>
    <w:p w14:paraId="5B912B52"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1.3 Managing data, information and digital content</w:t>
      </w:r>
    </w:p>
    <w:p w14:paraId="6B37DF79"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 Area 2: Communication and collaboration</w:t>
      </w:r>
    </w:p>
    <w:p w14:paraId="59851A5E"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2.1 Interacting through digital technologies</w:t>
      </w:r>
    </w:p>
    <w:p w14:paraId="62517A43"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2.2</w:t>
      </w:r>
      <w:r w:rsidRPr="00227F50">
        <w:rPr>
          <w:rFonts w:ascii="&amp;quot" w:eastAsia="Times New Roman" w:hAnsi="&amp;quot" w:cs="Times New Roman"/>
          <w:color w:val="0A0A0A"/>
          <w:sz w:val="21"/>
          <w:szCs w:val="21"/>
          <w:lang w:eastAsia="en-GB"/>
        </w:rPr>
        <w:t xml:space="preserve"> </w:t>
      </w:r>
      <w:r w:rsidRPr="00227F50">
        <w:rPr>
          <w:rFonts w:ascii="&amp;quot" w:eastAsia="Times New Roman" w:hAnsi="&amp;quot" w:cs="Times New Roman"/>
          <w:color w:val="0A0A0A"/>
          <w:sz w:val="21"/>
          <w:szCs w:val="21"/>
          <w:bdr w:val="none" w:sz="0" w:space="0" w:color="auto" w:frame="1"/>
          <w:lang w:eastAsia="en-GB"/>
        </w:rPr>
        <w:t>Sharing through digital technologies</w:t>
      </w:r>
    </w:p>
    <w:p w14:paraId="6ACC4EAE"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2.3 Engaging in citizenship through digital technologies</w:t>
      </w:r>
    </w:p>
    <w:p w14:paraId="3AF34A18"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 Area 3: Digital content creation</w:t>
      </w:r>
    </w:p>
    <w:p w14:paraId="226E4F51"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3.1 Developing digital content</w:t>
      </w:r>
    </w:p>
    <w:p w14:paraId="7CE58CAC" w14:textId="77777777" w:rsidR="00227F50" w:rsidRPr="00227F50" w:rsidRDefault="00227F50" w:rsidP="00227F50">
      <w:pPr>
        <w:spacing w:after="0" w:line="277" w:lineRule="atLeast"/>
        <w:textAlignment w:val="baseline"/>
        <w:outlineLvl w:val="2"/>
        <w:rPr>
          <w:rFonts w:ascii="&amp;quot" w:eastAsia="Times New Roman" w:hAnsi="&amp;quot" w:cs="Times New Roman"/>
          <w:b/>
          <w:bCs/>
          <w:color w:val="302683"/>
          <w:sz w:val="25"/>
          <w:szCs w:val="25"/>
          <w:lang w:eastAsia="en-GB"/>
        </w:rPr>
      </w:pPr>
      <w:r w:rsidRPr="00227F50">
        <w:rPr>
          <w:rFonts w:ascii="&amp;quot" w:eastAsia="Times New Roman" w:hAnsi="&amp;quot" w:cs="Times New Roman"/>
          <w:b/>
          <w:bCs/>
          <w:color w:val="302683"/>
          <w:sz w:val="20"/>
          <w:szCs w:val="20"/>
          <w:bdr w:val="none" w:sz="0" w:space="0" w:color="auto" w:frame="1"/>
          <w:lang w:eastAsia="en-GB"/>
        </w:rPr>
        <w:t>Dimension 3: Proficiency Levels</w:t>
      </w:r>
    </w:p>
    <w:p w14:paraId="0D528FCF"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LCCS addresses 4 out of the 8 Proficiency Levels of </w:t>
      </w:r>
      <w:proofErr w:type="spellStart"/>
      <w:r w:rsidRPr="00227F50">
        <w:rPr>
          <w:rFonts w:ascii="&amp;quot" w:eastAsia="Times New Roman" w:hAnsi="&amp;quot" w:cs="Times New Roman"/>
          <w:color w:val="0A0A0A"/>
          <w:sz w:val="21"/>
          <w:szCs w:val="21"/>
          <w:lang w:eastAsia="en-GB"/>
        </w:rPr>
        <w:t>DigComp</w:t>
      </w:r>
      <w:proofErr w:type="spellEnd"/>
      <w:r w:rsidRPr="00227F50">
        <w:rPr>
          <w:rFonts w:ascii="&amp;quot" w:eastAsia="Times New Roman" w:hAnsi="&amp;quot" w:cs="Times New Roman"/>
          <w:color w:val="0A0A0A"/>
          <w:sz w:val="21"/>
          <w:szCs w:val="21"/>
          <w:lang w:eastAsia="en-GB"/>
        </w:rPr>
        <w:t>, namely:</w:t>
      </w:r>
    </w:p>
    <w:p w14:paraId="3363AC47"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Foundation level, including:</w:t>
      </w:r>
    </w:p>
    <w:p w14:paraId="11D4DC7D"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Level 1: Basic level with guidance</w:t>
      </w:r>
    </w:p>
    <w:p w14:paraId="2E1B5FD5"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Level 2: Basic level with autonomy</w:t>
      </w:r>
    </w:p>
    <w:p w14:paraId="6B383F99"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Intermediate level, including:</w:t>
      </w:r>
    </w:p>
    <w:p w14:paraId="67ECCCE3"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Level 3: Well defined, routine tasks</w:t>
      </w:r>
    </w:p>
    <w:p w14:paraId="027D077F"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Level 4: Tasks, well defined and non-routine problems</w:t>
      </w:r>
    </w:p>
    <w:p w14:paraId="11953D40" w14:textId="77777777" w:rsidR="00227F50" w:rsidRPr="00227F50" w:rsidRDefault="00227F50" w:rsidP="00227F50">
      <w:pPr>
        <w:spacing w:after="0" w:line="277" w:lineRule="atLeast"/>
        <w:textAlignment w:val="baseline"/>
        <w:outlineLvl w:val="2"/>
        <w:rPr>
          <w:rFonts w:ascii="&amp;quot" w:eastAsia="Times New Roman" w:hAnsi="&amp;quot" w:cs="Times New Roman"/>
          <w:b/>
          <w:bCs/>
          <w:color w:val="302683"/>
          <w:sz w:val="25"/>
          <w:szCs w:val="25"/>
          <w:lang w:eastAsia="en-GB"/>
        </w:rPr>
      </w:pPr>
      <w:r w:rsidRPr="00227F50">
        <w:rPr>
          <w:rFonts w:ascii="&amp;quot" w:eastAsia="Times New Roman" w:hAnsi="&amp;quot" w:cs="Times New Roman"/>
          <w:b/>
          <w:bCs/>
          <w:color w:val="302683"/>
          <w:sz w:val="20"/>
          <w:szCs w:val="20"/>
          <w:bdr w:val="none" w:sz="0" w:space="0" w:color="auto" w:frame="1"/>
          <w:lang w:eastAsia="en-GB"/>
        </w:rPr>
        <w:t>Dimension 4: Knowledge, skills and attitudes applicable to each Competence</w:t>
      </w:r>
    </w:p>
    <w:p w14:paraId="255B76E1"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This dimension includes skills specific to the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 project that are targeted to the project’s scope. The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-specific skills have been designed </w:t>
      </w:r>
      <w:proofErr w:type="gramStart"/>
      <w:r w:rsidRPr="00227F50">
        <w:rPr>
          <w:rFonts w:ascii="&amp;quot" w:eastAsia="Times New Roman" w:hAnsi="&amp;quot" w:cs="Times New Roman"/>
          <w:color w:val="0A0A0A"/>
          <w:sz w:val="21"/>
          <w:szCs w:val="21"/>
          <w:lang w:eastAsia="en-GB"/>
        </w:rPr>
        <w:t>so as to</w:t>
      </w:r>
      <w:proofErr w:type="gramEnd"/>
      <w:r w:rsidRPr="00227F50">
        <w:rPr>
          <w:rFonts w:ascii="&amp;quot" w:eastAsia="Times New Roman" w:hAnsi="&amp;quot" w:cs="Times New Roman"/>
          <w:color w:val="0A0A0A"/>
          <w:sz w:val="21"/>
          <w:szCs w:val="21"/>
          <w:lang w:eastAsia="en-GB"/>
        </w:rPr>
        <w:t xml:space="preserve"> support the process of learning foreign languages, cultures and cuisines by the trainees. They are purely digital skills related both to the process of learning through the cooking sessions organized by the project and </w:t>
      </w:r>
      <w:proofErr w:type="gramStart"/>
      <w:r w:rsidRPr="00227F50">
        <w:rPr>
          <w:rFonts w:ascii="&amp;quot" w:eastAsia="Times New Roman" w:hAnsi="&amp;quot" w:cs="Times New Roman"/>
          <w:color w:val="0A0A0A"/>
          <w:sz w:val="21"/>
          <w:szCs w:val="21"/>
          <w:lang w:eastAsia="en-GB"/>
        </w:rPr>
        <w:t>through the use of</w:t>
      </w:r>
      <w:proofErr w:type="gramEnd"/>
      <w:r w:rsidRPr="00227F50">
        <w:rPr>
          <w:rFonts w:ascii="&amp;quot" w:eastAsia="Times New Roman" w:hAnsi="&amp;quot" w:cs="Times New Roman"/>
          <w:color w:val="0A0A0A"/>
          <w:sz w:val="21"/>
          <w:szCs w:val="21"/>
          <w:lang w:eastAsia="en-GB"/>
        </w:rPr>
        <w:t xml:space="preserve"> the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 application (the Recipe Builder).</w:t>
      </w:r>
    </w:p>
    <w:p w14:paraId="40EC49D0" w14:textId="77777777" w:rsidR="00227F50" w:rsidRPr="00227F50" w:rsidRDefault="00227F50" w:rsidP="00227F50">
      <w:pPr>
        <w:spacing w:after="0" w:line="277" w:lineRule="atLeast"/>
        <w:textAlignment w:val="baseline"/>
        <w:outlineLvl w:val="2"/>
        <w:rPr>
          <w:rFonts w:ascii="&amp;quot" w:eastAsia="Times New Roman" w:hAnsi="&amp;quot" w:cs="Times New Roman"/>
          <w:b/>
          <w:bCs/>
          <w:color w:val="302683"/>
          <w:sz w:val="25"/>
          <w:szCs w:val="25"/>
          <w:lang w:eastAsia="en-GB"/>
        </w:rPr>
      </w:pPr>
      <w:r w:rsidRPr="00227F50">
        <w:rPr>
          <w:rFonts w:ascii="&amp;quot" w:eastAsia="Times New Roman" w:hAnsi="&amp;quot" w:cs="Times New Roman"/>
          <w:b/>
          <w:bCs/>
          <w:color w:val="302683"/>
          <w:sz w:val="20"/>
          <w:szCs w:val="20"/>
          <w:bdr w:val="none" w:sz="0" w:space="0" w:color="auto" w:frame="1"/>
          <w:lang w:eastAsia="en-GB"/>
        </w:rPr>
        <w:t>Dimension 5: Examples of use</w:t>
      </w:r>
    </w:p>
    <w:p w14:paraId="43D8939E"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Examples of use are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 –specific. </w:t>
      </w: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22E68762" wp14:editId="00E47AD2">
            <wp:extent cx="1419225" cy="1419225"/>
            <wp:effectExtent l="0" t="0" r="9525" b="9525"/>
            <wp:docPr id="7" name="Picture 7" descr="https://storage.ning.com/topology/rest/1.0/file/get/137030144?profile=origina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rage.ning.com/topology/rest/1.0/file/get/137030144?profile=original">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66A3F32E"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w:t>
      </w:r>
    </w:p>
    <w:p w14:paraId="3AB5234C"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u w:val="single"/>
          <w:bdr w:val="none" w:sz="0" w:space="0" w:color="auto" w:frame="1"/>
          <w:lang w:eastAsia="en-GB"/>
        </w:rPr>
        <w:t xml:space="preserve">The certification </w:t>
      </w:r>
      <w:proofErr w:type="gramStart"/>
      <w:r w:rsidRPr="00227F50">
        <w:rPr>
          <w:rFonts w:ascii="&amp;quot" w:eastAsia="Times New Roman" w:hAnsi="&amp;quot" w:cs="Times New Roman"/>
          <w:b/>
          <w:bCs/>
          <w:color w:val="0A0A0A"/>
          <w:sz w:val="21"/>
          <w:szCs w:val="21"/>
          <w:u w:val="single"/>
          <w:bdr w:val="none" w:sz="0" w:space="0" w:color="auto" w:frame="1"/>
          <w:lang w:eastAsia="en-GB"/>
        </w:rPr>
        <w:t>process</w:t>
      </w:r>
      <w:proofErr w:type="gramEnd"/>
    </w:p>
    <w:p w14:paraId="5217F08D"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A significant part of the LCCS is the Framework that maps the skills to competences and to Proficiency Levels (PL). It is also used to derive appropriate certification questions that cover all basic skills at all levels. Scoring functionality is used to calculate the score of the certification and assign a trainee to a PL for each Competence under examination.</w:t>
      </w:r>
    </w:p>
    <w:p w14:paraId="7B74382C"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The process of mapping dimensions to each other, requires the analysis of each Competence Area into Competences. The next step is to process each Competence separately as follows: based on the descriptors of each PL, a set of HL-Skills is derived. They are used to design the first version of the questions of the certification tools. In parallel, HL-Skills and descriptors are used to derive the PL-Skills for the specific Level of Proficiency Level of the Competence. From each PL-Skill (or wherever possible, from multiple PL-Skills), the next step designs Examples of Use that are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-specific. By using PL-Skills and Examples of Use, the process a) refines the questions previously designed with a goal to produce the minimum set of questions that cover most skills with the best possible quality of answers and b) design the answers for each question. Questions can be generic or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-specific, with more focus on the latter. This process is repeated for every Competence. </w:t>
      </w: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584870F3" wp14:editId="6E220FFD">
            <wp:extent cx="5731510" cy="3444240"/>
            <wp:effectExtent l="0" t="0" r="2540" b="3810"/>
            <wp:docPr id="6" name="Picture 6" descr="https://storage.ning.com/topology/rest/1.0/file/get/137030479?profile=original">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ning.com/topology/rest/1.0/file/get/137030479?profile=original">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444240"/>
                    </a:xfrm>
                    <a:prstGeom prst="rect">
                      <a:avLst/>
                    </a:prstGeom>
                    <a:noFill/>
                    <a:ln>
                      <a:noFill/>
                    </a:ln>
                  </pic:spPr>
                </pic:pic>
              </a:graphicData>
            </a:graphic>
          </wp:inline>
        </w:drawing>
      </w:r>
    </w:p>
    <w:p w14:paraId="349BDFDA"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w:t>
      </w:r>
    </w:p>
    <w:p w14:paraId="5AE78F60"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Here is an example of applying the certification process for competence Evaluating data, information and digital content:</w:t>
      </w:r>
    </w:p>
    <w:p w14:paraId="00744646"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2BCC4FED" wp14:editId="58230A0B">
            <wp:extent cx="5715000" cy="1152525"/>
            <wp:effectExtent l="0" t="0" r="0" b="9525"/>
            <wp:docPr id="5" name="Picture 5" descr="https://storage.ning.com/topology/rest/1.0/file/get/137030902?profile=original&amp;width=60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ning.com/topology/rest/1.0/file/get/137030902?profile=original&amp;width=600">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152525"/>
                    </a:xfrm>
                    <a:prstGeom prst="rect">
                      <a:avLst/>
                    </a:prstGeom>
                    <a:noFill/>
                    <a:ln>
                      <a:noFill/>
                    </a:ln>
                  </pic:spPr>
                </pic:pic>
              </a:graphicData>
            </a:graphic>
          </wp:inline>
        </w:drawing>
      </w:r>
    </w:p>
    <w:p w14:paraId="07B88A3B"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534524C2" wp14:editId="1E9FFB5F">
            <wp:extent cx="5715000" cy="1314450"/>
            <wp:effectExtent l="0" t="0" r="0" b="0"/>
            <wp:docPr id="4" name="Picture 4" descr="https://storage.ning.com/topology/rest/1.0/file/get/137030873?profile=original&amp;width=60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orage.ning.com/topology/rest/1.0/file/get/137030873?profile=original&amp;width=600">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p>
    <w:p w14:paraId="4D9B9FA6"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7A7B3DA1" wp14:editId="64F84CB0">
            <wp:extent cx="5715000" cy="2105025"/>
            <wp:effectExtent l="0" t="0" r="0" b="9525"/>
            <wp:docPr id="3" name="Picture 3" descr="https://storage.ning.com/topology/rest/1.0/file/get/137030877?profile=original&amp;width=60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ning.com/topology/rest/1.0/file/get/137030877?profile=original&amp;width=60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14:paraId="66487AB5"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24A2D7E0" wp14:editId="16408159">
            <wp:extent cx="5715000" cy="2333625"/>
            <wp:effectExtent l="0" t="0" r="0" b="9525"/>
            <wp:docPr id="2" name="Picture 2" descr="https://storage.ning.com/topology/rest/1.0/file/get/137031010?profile=original&amp;width=600">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orage.ning.com/topology/rest/1.0/file/get/137031010?profile=original&amp;width=600">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2333625"/>
                    </a:xfrm>
                    <a:prstGeom prst="rect">
                      <a:avLst/>
                    </a:prstGeom>
                    <a:noFill/>
                    <a:ln>
                      <a:noFill/>
                    </a:ln>
                  </pic:spPr>
                </pic:pic>
              </a:graphicData>
            </a:graphic>
          </wp:inline>
        </w:drawing>
      </w:r>
    </w:p>
    <w:p w14:paraId="05985A5C"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And the resulting questions: </w:t>
      </w:r>
      <w:r w:rsidRPr="00227F50">
        <w:rPr>
          <w:rFonts w:ascii="&amp;quot" w:eastAsia="Times New Roman" w:hAnsi="&amp;quot" w:cs="Times New Roman"/>
          <w:noProof/>
          <w:color w:val="302683"/>
          <w:sz w:val="21"/>
          <w:szCs w:val="21"/>
          <w:bdr w:val="none" w:sz="0" w:space="0" w:color="auto" w:frame="1"/>
          <w:lang w:eastAsia="en-GB"/>
        </w:rPr>
        <w:drawing>
          <wp:inline distT="0" distB="0" distL="0" distR="0" wp14:anchorId="43AEE60F" wp14:editId="27BCA62B">
            <wp:extent cx="5715000" cy="3267075"/>
            <wp:effectExtent l="0" t="0" r="0" b="9525"/>
            <wp:docPr id="1" name="Picture 1" descr="https://storage.ning.com/topology/rest/1.0/file/get/137031071?profile=original&amp;width=600">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orage.ning.com/topology/rest/1.0/file/get/137031071?profile=original&amp;width=600">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3267075"/>
                    </a:xfrm>
                    <a:prstGeom prst="rect">
                      <a:avLst/>
                    </a:prstGeom>
                    <a:noFill/>
                    <a:ln>
                      <a:noFill/>
                    </a:ln>
                  </pic:spPr>
                </pic:pic>
              </a:graphicData>
            </a:graphic>
          </wp:inline>
        </w:drawing>
      </w:r>
    </w:p>
    <w:p w14:paraId="40CF1E6A"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w:t>
      </w:r>
      <w:r w:rsidRPr="00227F50">
        <w:rPr>
          <w:rFonts w:ascii="&amp;quot" w:eastAsia="Times New Roman" w:hAnsi="&amp;quot" w:cs="Times New Roman"/>
          <w:b/>
          <w:bCs/>
          <w:color w:val="0A0A0A"/>
          <w:sz w:val="21"/>
          <w:szCs w:val="21"/>
          <w:u w:val="single"/>
          <w:bdr w:val="none" w:sz="0" w:space="0" w:color="auto" w:frame="1"/>
          <w:lang w:eastAsia="en-GB"/>
        </w:rPr>
        <w:t>Structure of the certification system</w:t>
      </w:r>
    </w:p>
    <w:p w14:paraId="64CE9BAD"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The Certification System comprises the following parts:</w:t>
      </w:r>
    </w:p>
    <w:p w14:paraId="65372D83" w14:textId="77777777" w:rsidR="00227F50" w:rsidRPr="00227F50" w:rsidRDefault="00227F50" w:rsidP="00227F50">
      <w:pPr>
        <w:numPr>
          <w:ilvl w:val="0"/>
          <w:numId w:val="3"/>
        </w:numPr>
        <w:spacing w:after="0" w:line="240" w:lineRule="auto"/>
        <w:ind w:left="675"/>
        <w:textAlignment w:val="baseline"/>
        <w:rPr>
          <w:rFonts w:ascii="&amp;quot" w:eastAsia="Times New Roman" w:hAnsi="&amp;quot" w:cs="Times New Roman"/>
          <w:color w:val="0A0A0A"/>
          <w:sz w:val="21"/>
          <w:szCs w:val="21"/>
          <w:lang w:eastAsia="en-GB"/>
        </w:rPr>
      </w:pPr>
      <w:proofErr w:type="spellStart"/>
      <w:r w:rsidRPr="00227F50">
        <w:rPr>
          <w:rFonts w:ascii="&amp;quot" w:eastAsia="Times New Roman" w:hAnsi="&amp;quot" w:cs="Times New Roman"/>
          <w:b/>
          <w:bCs/>
          <w:color w:val="0A0A0A"/>
          <w:sz w:val="21"/>
          <w:szCs w:val="21"/>
          <w:bdr w:val="none" w:sz="0" w:space="0" w:color="auto" w:frame="1"/>
          <w:lang w:eastAsia="en-GB"/>
        </w:rPr>
        <w:t>LinguaCuisine</w:t>
      </w:r>
      <w:proofErr w:type="spellEnd"/>
      <w:r w:rsidRPr="00227F50">
        <w:rPr>
          <w:rFonts w:ascii="&amp;quot" w:eastAsia="Times New Roman" w:hAnsi="&amp;quot" w:cs="Times New Roman"/>
          <w:b/>
          <w:bCs/>
          <w:color w:val="0A0A0A"/>
          <w:sz w:val="21"/>
          <w:szCs w:val="21"/>
          <w:bdr w:val="none" w:sz="0" w:space="0" w:color="auto" w:frame="1"/>
          <w:lang w:eastAsia="en-GB"/>
        </w:rPr>
        <w:t xml:space="preserve"> Conceptualization Framework (LCCF).</w:t>
      </w:r>
      <w:r w:rsidRPr="00227F50">
        <w:rPr>
          <w:rFonts w:ascii="&amp;quot" w:eastAsia="Times New Roman" w:hAnsi="&amp;quot" w:cs="Times New Roman"/>
          <w:color w:val="0A0A0A"/>
          <w:sz w:val="21"/>
          <w:szCs w:val="21"/>
          <w:lang w:eastAsia="en-GB"/>
        </w:rPr>
        <w:t xml:space="preserve"> The framework provides a mapping between:</w:t>
      </w:r>
    </w:p>
    <w:p w14:paraId="10D9E97D" w14:textId="77777777" w:rsidR="00227F50" w:rsidRPr="00227F50" w:rsidRDefault="00227F50" w:rsidP="00227F50">
      <w:pPr>
        <w:numPr>
          <w:ilvl w:val="0"/>
          <w:numId w:val="4"/>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The competences and the generic digital skills</w:t>
      </w:r>
    </w:p>
    <w:p w14:paraId="12DF0D4C" w14:textId="77777777" w:rsidR="00227F50" w:rsidRPr="00227F50" w:rsidRDefault="00227F50" w:rsidP="00227F50">
      <w:pPr>
        <w:numPr>
          <w:ilvl w:val="0"/>
          <w:numId w:val="4"/>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xml:space="preserve">Generic digital skills and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 xml:space="preserve">-specific examples of use (from which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-specific skills are derived)</w:t>
      </w:r>
    </w:p>
    <w:p w14:paraId="120DC885" w14:textId="77777777" w:rsidR="00227F50" w:rsidRPr="00227F50" w:rsidRDefault="00227F50" w:rsidP="00227F50">
      <w:pPr>
        <w:numPr>
          <w:ilvl w:val="0"/>
          <w:numId w:val="4"/>
        </w:numPr>
        <w:spacing w:after="45" w:line="240" w:lineRule="auto"/>
        <w:ind w:left="675"/>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Competences-skills and questions/answers for the two tests used for certification.</w:t>
      </w:r>
    </w:p>
    <w:p w14:paraId="35D25ABA" w14:textId="77777777" w:rsidR="00227F50" w:rsidRPr="00227F50" w:rsidRDefault="00227F50" w:rsidP="00227F50">
      <w:pPr>
        <w:numPr>
          <w:ilvl w:val="0"/>
          <w:numId w:val="5"/>
        </w:numPr>
        <w:spacing w:after="0" w:line="240" w:lineRule="auto"/>
        <w:ind w:left="675" w:hanging="360"/>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bdr w:val="none" w:sz="0" w:space="0" w:color="auto" w:frame="1"/>
          <w:lang w:eastAsia="en-GB"/>
        </w:rPr>
        <w:t>Certification Tools:</w:t>
      </w:r>
      <w:r w:rsidRPr="00227F50">
        <w:rPr>
          <w:rFonts w:ascii="&amp;quot" w:eastAsia="Times New Roman" w:hAnsi="&amp;quot" w:cs="Times New Roman"/>
          <w:color w:val="0A0A0A"/>
          <w:sz w:val="21"/>
          <w:szCs w:val="21"/>
          <w:lang w:eastAsia="en-GB"/>
        </w:rPr>
        <w:t xml:space="preserve"> the certification tools include two tests of different type, Test I and Test II. They are designed to assess the PL of a Trainee both by way of a certification test (Test I- a multiple choose quiz of 49 questions) and by observation and rating by a tutor (Test II- observation sheet including 37 assessment tasks). Each test calculates a score for each Competence and based on a predefined range of values, the score is mapped to a PL. Both tests use the same scoring method and they are designed to complement each other.</w:t>
      </w:r>
    </w:p>
    <w:p w14:paraId="61EF6530" w14:textId="77777777" w:rsidR="00227F50" w:rsidRPr="00227F50" w:rsidRDefault="00227F50" w:rsidP="00227F50">
      <w:pPr>
        <w:numPr>
          <w:ilvl w:val="0"/>
          <w:numId w:val="6"/>
        </w:numPr>
        <w:spacing w:after="0" w:line="240" w:lineRule="auto"/>
        <w:ind w:left="675" w:hanging="360"/>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bdr w:val="none" w:sz="0" w:space="0" w:color="auto" w:frame="1"/>
          <w:lang w:eastAsia="en-GB"/>
        </w:rPr>
        <w:t>Grading Methodology:</w:t>
      </w:r>
      <w:r w:rsidRPr="00227F50">
        <w:rPr>
          <w:rFonts w:ascii="&amp;quot" w:eastAsia="Times New Roman" w:hAnsi="&amp;quot" w:cs="Times New Roman"/>
          <w:color w:val="0A0A0A"/>
          <w:sz w:val="21"/>
          <w:szCs w:val="21"/>
          <w:lang w:eastAsia="en-GB"/>
        </w:rPr>
        <w:t xml:space="preserve"> it provides the scoring ranges and algorithms for calculating the total score for each Competence assessed by the certification tools. The methodology meets the needs for compatibility between the two certification tools and for accurate results.</w:t>
      </w:r>
    </w:p>
    <w:p w14:paraId="3809D78D" w14:textId="77777777" w:rsidR="00227F50" w:rsidRPr="00227F50" w:rsidRDefault="00227F50" w:rsidP="00227F50">
      <w:pPr>
        <w:numPr>
          <w:ilvl w:val="0"/>
          <w:numId w:val="7"/>
        </w:numPr>
        <w:spacing w:after="0" w:line="240" w:lineRule="auto"/>
        <w:ind w:left="675" w:hanging="360"/>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bdr w:val="none" w:sz="0" w:space="0" w:color="auto" w:frame="1"/>
          <w:lang w:eastAsia="en-GB"/>
        </w:rPr>
        <w:t>Certificate Skills award</w:t>
      </w:r>
      <w:r w:rsidRPr="00227F50">
        <w:rPr>
          <w:rFonts w:ascii="&amp;quot" w:eastAsia="Times New Roman" w:hAnsi="&amp;quot" w:cs="Times New Roman"/>
          <w:color w:val="0A0A0A"/>
          <w:sz w:val="21"/>
          <w:szCs w:val="21"/>
          <w:lang w:eastAsia="en-GB"/>
        </w:rPr>
        <w:t xml:space="preserve">. The Certification System awards certificates based on the Proficiency Level that was calculated for each Competence. Thus, each time a trainee is certified for a Competence, a specific set of generic and </w:t>
      </w:r>
      <w:proofErr w:type="spellStart"/>
      <w:r w:rsidRPr="00227F50">
        <w:rPr>
          <w:rFonts w:ascii="&amp;quot" w:eastAsia="Times New Roman" w:hAnsi="&amp;quot" w:cs="Times New Roman"/>
          <w:color w:val="0A0A0A"/>
          <w:sz w:val="21"/>
          <w:szCs w:val="21"/>
          <w:lang w:eastAsia="en-GB"/>
        </w:rPr>
        <w:t>LinguaCuisine</w:t>
      </w:r>
      <w:proofErr w:type="spellEnd"/>
      <w:r w:rsidRPr="00227F50">
        <w:rPr>
          <w:rFonts w:ascii="&amp;quot" w:eastAsia="Times New Roman" w:hAnsi="&amp;quot" w:cs="Times New Roman"/>
          <w:color w:val="0A0A0A"/>
          <w:sz w:val="21"/>
          <w:szCs w:val="21"/>
          <w:lang w:eastAsia="en-GB"/>
        </w:rPr>
        <w:t>-specific skills award is produced.</w:t>
      </w:r>
    </w:p>
    <w:p w14:paraId="6C9F1263" w14:textId="77777777" w:rsidR="00227F50" w:rsidRPr="00227F50" w:rsidRDefault="00227F50" w:rsidP="00227F50">
      <w:pPr>
        <w:spacing w:after="21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lang w:eastAsia="en-GB"/>
        </w:rPr>
        <w:t> </w:t>
      </w:r>
    </w:p>
    <w:p w14:paraId="2D915BD3"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u w:val="single"/>
          <w:bdr w:val="none" w:sz="0" w:space="0" w:color="auto" w:frame="1"/>
          <w:lang w:eastAsia="en-GB"/>
        </w:rPr>
        <w:t>Certification tools</w:t>
      </w:r>
    </w:p>
    <w:p w14:paraId="3C7C6ADF"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The system uses two tests to award a PL certificate to a trainee. The PL is calculated for each Competence independently based on the results of both tests. For each Competence, the set of skills that corresponds to the PL certified, is awarded. Different PLs may be certified for different competences.</w:t>
      </w:r>
    </w:p>
    <w:p w14:paraId="0C1CAFDA"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bdr w:val="none" w:sz="0" w:space="0" w:color="auto" w:frame="1"/>
          <w:lang w:eastAsia="en-GB"/>
        </w:rPr>
        <w:t>Test I</w:t>
      </w:r>
    </w:p>
    <w:p w14:paraId="4392F292"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 xml:space="preserve">The goal of this certification tool is to provide detailed information on the Proficiency Level of the trainee by assessing a wide range of PL-Skills according to the mapping of the LCCF. It is a multiple-choice test including questions that are grouped by </w:t>
      </w:r>
      <w:proofErr w:type="spellStart"/>
      <w:r w:rsidRPr="00227F50">
        <w:rPr>
          <w:rFonts w:ascii="&amp;quot" w:eastAsia="Times New Roman" w:hAnsi="&amp;quot" w:cs="Times New Roman"/>
          <w:color w:val="0A0A0A"/>
          <w:sz w:val="21"/>
          <w:szCs w:val="21"/>
          <w:bdr w:val="none" w:sz="0" w:space="0" w:color="auto" w:frame="1"/>
          <w:lang w:eastAsia="en-GB"/>
        </w:rPr>
        <w:t>DigComp’s</w:t>
      </w:r>
      <w:proofErr w:type="spellEnd"/>
      <w:r w:rsidRPr="00227F50">
        <w:rPr>
          <w:rFonts w:ascii="&amp;quot" w:eastAsia="Times New Roman" w:hAnsi="&amp;quot" w:cs="Times New Roman"/>
          <w:color w:val="0A0A0A"/>
          <w:sz w:val="21"/>
          <w:szCs w:val="21"/>
          <w:bdr w:val="none" w:sz="0" w:space="0" w:color="auto" w:frame="1"/>
          <w:lang w:eastAsia="en-GB"/>
        </w:rPr>
        <w:t xml:space="preserve"> competences. Trainees can only give one answer to the multiple-choice questions. Answers are designed </w:t>
      </w:r>
      <w:proofErr w:type="gramStart"/>
      <w:r w:rsidRPr="00227F50">
        <w:rPr>
          <w:rFonts w:ascii="&amp;quot" w:eastAsia="Times New Roman" w:hAnsi="&amp;quot" w:cs="Times New Roman"/>
          <w:color w:val="0A0A0A"/>
          <w:sz w:val="21"/>
          <w:szCs w:val="21"/>
          <w:bdr w:val="none" w:sz="0" w:space="0" w:color="auto" w:frame="1"/>
          <w:lang w:eastAsia="en-GB"/>
        </w:rPr>
        <w:t>so as to</w:t>
      </w:r>
      <w:proofErr w:type="gramEnd"/>
      <w:r w:rsidRPr="00227F50">
        <w:rPr>
          <w:rFonts w:ascii="&amp;quot" w:eastAsia="Times New Roman" w:hAnsi="&amp;quot" w:cs="Times New Roman"/>
          <w:color w:val="0A0A0A"/>
          <w:sz w:val="21"/>
          <w:szCs w:val="21"/>
          <w:bdr w:val="none" w:sz="0" w:space="0" w:color="auto" w:frame="1"/>
          <w:lang w:eastAsia="en-GB"/>
        </w:rPr>
        <w:t xml:space="preserve"> reflect differ</w:t>
      </w:r>
      <w:r w:rsidRPr="00227F50">
        <w:rPr>
          <w:rFonts w:ascii="&amp;quot" w:eastAsia="Times New Roman" w:hAnsi="&amp;quot" w:cs="Times New Roman"/>
          <w:color w:val="0A0A0A"/>
          <w:sz w:val="21"/>
          <w:szCs w:val="21"/>
          <w:bdr w:val="none" w:sz="0" w:space="0" w:color="auto" w:frame="1"/>
          <w:lang w:eastAsia="en-GB"/>
        </w:rPr>
        <w:softHyphen/>
        <w:t xml:space="preserve">ent digital </w:t>
      </w:r>
      <w:proofErr w:type="spellStart"/>
      <w:r w:rsidRPr="00227F50">
        <w:rPr>
          <w:rFonts w:ascii="&amp;quot" w:eastAsia="Times New Roman" w:hAnsi="&amp;quot" w:cs="Times New Roman"/>
          <w:color w:val="0A0A0A"/>
          <w:sz w:val="21"/>
          <w:szCs w:val="21"/>
          <w:bdr w:val="none" w:sz="0" w:space="0" w:color="auto" w:frame="1"/>
          <w:lang w:eastAsia="en-GB"/>
        </w:rPr>
        <w:t>PLs.</w:t>
      </w:r>
      <w:proofErr w:type="spellEnd"/>
      <w:r w:rsidRPr="00227F50">
        <w:rPr>
          <w:rFonts w:ascii="&amp;quot" w:eastAsia="Times New Roman" w:hAnsi="&amp;quot" w:cs="Times New Roman"/>
          <w:color w:val="0A0A0A"/>
          <w:sz w:val="21"/>
          <w:szCs w:val="21"/>
          <w:bdr w:val="none" w:sz="0" w:space="0" w:color="auto" w:frame="1"/>
          <w:lang w:eastAsia="en-GB"/>
        </w:rPr>
        <w:t xml:space="preserve"> A question has answers corresponding to all PLs (one for each level) plus answers that are false. Thus, by choosing a specific answer, the trainee is mapped to a PL and awarded specific points.</w:t>
      </w:r>
    </w:p>
    <w:p w14:paraId="7770A39A" w14:textId="77777777" w:rsidR="00227F50" w:rsidRPr="00227F50" w:rsidRDefault="00227F50" w:rsidP="00227F50">
      <w:pPr>
        <w:spacing w:after="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b/>
          <w:bCs/>
          <w:color w:val="0A0A0A"/>
          <w:sz w:val="21"/>
          <w:szCs w:val="21"/>
          <w:bdr w:val="none" w:sz="0" w:space="0" w:color="auto" w:frame="1"/>
          <w:lang w:eastAsia="en-GB"/>
        </w:rPr>
        <w:t>Test II</w:t>
      </w:r>
    </w:p>
    <w:p w14:paraId="5D321677" w14:textId="4B38BE3F" w:rsidR="00C7339C" w:rsidRPr="00227F50" w:rsidRDefault="00227F50" w:rsidP="00227F50">
      <w:pPr>
        <w:spacing w:after="150" w:line="240" w:lineRule="auto"/>
        <w:textAlignment w:val="baseline"/>
        <w:rPr>
          <w:rFonts w:ascii="&amp;quot" w:eastAsia="Times New Roman" w:hAnsi="&amp;quot" w:cs="Times New Roman"/>
          <w:color w:val="0A0A0A"/>
          <w:sz w:val="21"/>
          <w:szCs w:val="21"/>
          <w:lang w:eastAsia="en-GB"/>
        </w:rPr>
      </w:pPr>
      <w:r w:rsidRPr="00227F50">
        <w:rPr>
          <w:rFonts w:ascii="&amp;quot" w:eastAsia="Times New Roman" w:hAnsi="&amp;quot" w:cs="Times New Roman"/>
          <w:color w:val="0A0A0A"/>
          <w:sz w:val="21"/>
          <w:szCs w:val="21"/>
          <w:bdr w:val="none" w:sz="0" w:space="0" w:color="auto" w:frame="1"/>
          <w:lang w:eastAsia="en-GB"/>
        </w:rPr>
        <w:t xml:space="preserve">This is an observation test where the trainee is asked to perform simple tasks. Each task is assessed by one question. Tasks correspond to PL-skills of various </w:t>
      </w:r>
      <w:proofErr w:type="spellStart"/>
      <w:r w:rsidRPr="00227F50">
        <w:rPr>
          <w:rFonts w:ascii="&amp;quot" w:eastAsia="Times New Roman" w:hAnsi="&amp;quot" w:cs="Times New Roman"/>
          <w:color w:val="0A0A0A"/>
          <w:sz w:val="21"/>
          <w:szCs w:val="21"/>
          <w:bdr w:val="none" w:sz="0" w:space="0" w:color="auto" w:frame="1"/>
          <w:lang w:eastAsia="en-GB"/>
        </w:rPr>
        <w:t>PLs.</w:t>
      </w:r>
      <w:proofErr w:type="spellEnd"/>
      <w:r w:rsidRPr="00227F50">
        <w:rPr>
          <w:rFonts w:ascii="&amp;quot" w:eastAsia="Times New Roman" w:hAnsi="&amp;quot" w:cs="Times New Roman"/>
          <w:color w:val="0A0A0A"/>
          <w:sz w:val="21"/>
          <w:szCs w:val="21"/>
          <w:bdr w:val="none" w:sz="0" w:space="0" w:color="auto" w:frame="1"/>
          <w:lang w:eastAsia="en-GB"/>
        </w:rPr>
        <w:t xml:space="preserve"> The trainer observes the reaction of the trainee and assess the way that the latter executes a task. There are various ways of executing a task, organized into patterns of behaviour. These patterns are, just like the answers of the questions of Test I, mapped to each one of the 4 </w:t>
      </w:r>
      <w:proofErr w:type="spellStart"/>
      <w:r w:rsidRPr="00227F50">
        <w:rPr>
          <w:rFonts w:ascii="&amp;quot" w:eastAsia="Times New Roman" w:hAnsi="&amp;quot" w:cs="Times New Roman"/>
          <w:color w:val="0A0A0A"/>
          <w:sz w:val="21"/>
          <w:szCs w:val="21"/>
          <w:bdr w:val="none" w:sz="0" w:space="0" w:color="auto" w:frame="1"/>
          <w:lang w:eastAsia="en-GB"/>
        </w:rPr>
        <w:t>PLs.</w:t>
      </w:r>
      <w:proofErr w:type="spellEnd"/>
      <w:r w:rsidRPr="00227F50">
        <w:rPr>
          <w:rFonts w:ascii="&amp;quot" w:eastAsia="Times New Roman" w:hAnsi="&amp;quot" w:cs="Times New Roman"/>
          <w:color w:val="0A0A0A"/>
          <w:sz w:val="21"/>
          <w:szCs w:val="21"/>
          <w:bdr w:val="none" w:sz="0" w:space="0" w:color="auto" w:frame="1"/>
          <w:lang w:eastAsia="en-GB"/>
        </w:rPr>
        <w:t xml:space="preserve"> The trainer selects the pattern (thus, the Proficiency Level) of the behaviour (the closest one) the trainee has exhibited when executing a task and a score is assigned.</w:t>
      </w:r>
      <w:bookmarkStart w:id="0" w:name="_GoBack"/>
      <w:bookmarkEnd w:id="0"/>
    </w:p>
    <w:sectPr w:rsidR="00C7339C" w:rsidRPr="00227F50" w:rsidSect="00FF554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DC1"/>
    <w:multiLevelType w:val="multilevel"/>
    <w:tmpl w:val="E3B8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5119D"/>
    <w:multiLevelType w:val="multilevel"/>
    <w:tmpl w:val="B408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731F5D"/>
    <w:multiLevelType w:val="multilevel"/>
    <w:tmpl w:val="B76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D1315"/>
    <w:multiLevelType w:val="multilevel"/>
    <w:tmpl w:val="9B9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6210F"/>
    <w:multiLevelType w:val="multilevel"/>
    <w:tmpl w:val="F0102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50"/>
    <w:rsid w:val="00227F50"/>
    <w:rsid w:val="00BF3264"/>
    <w:rsid w:val="00C7339C"/>
    <w:rsid w:val="00FF554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98AB"/>
  <w15:chartTrackingRefBased/>
  <w15:docId w15:val="{6A7D1B9A-F063-400B-B2A1-AD17566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7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27F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27F50"/>
    <w:rPr>
      <w:rFonts w:ascii="Times New Roman" w:eastAsia="Times New Roman" w:hAnsi="Times New Roman" w:cs="Times New Roman"/>
      <w:b/>
      <w:bCs/>
      <w:sz w:val="27"/>
      <w:szCs w:val="27"/>
      <w:lang w:eastAsia="en-GB"/>
    </w:rPr>
  </w:style>
  <w:style w:type="character" w:customStyle="1" w:styleId="xgavatar">
    <w:name w:val="xg_avatar"/>
    <w:basedOn w:val="DefaultParagraphFont"/>
    <w:rsid w:val="00227F50"/>
  </w:style>
  <w:style w:type="character" w:styleId="Hyperlink">
    <w:name w:val="Hyperlink"/>
    <w:basedOn w:val="DefaultParagraphFont"/>
    <w:uiPriority w:val="99"/>
    <w:semiHidden/>
    <w:unhideWhenUsed/>
    <w:rsid w:val="00227F50"/>
    <w:rPr>
      <w:color w:val="0000FF"/>
      <w:u w:val="single"/>
    </w:rPr>
  </w:style>
  <w:style w:type="paragraph" w:styleId="NormalWeb">
    <w:name w:val="Normal (Web)"/>
    <w:basedOn w:val="Normal"/>
    <w:uiPriority w:val="99"/>
    <w:semiHidden/>
    <w:unhideWhenUsed/>
    <w:rsid w:val="00227F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7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1160">
      <w:bodyDiv w:val="1"/>
      <w:marLeft w:val="0"/>
      <w:marRight w:val="0"/>
      <w:marTop w:val="0"/>
      <w:marBottom w:val="0"/>
      <w:divBdr>
        <w:top w:val="none" w:sz="0" w:space="0" w:color="auto"/>
        <w:left w:val="none" w:sz="0" w:space="0" w:color="auto"/>
        <w:bottom w:val="none" w:sz="0" w:space="0" w:color="auto"/>
        <w:right w:val="none" w:sz="0" w:space="0" w:color="auto"/>
      </w:divBdr>
      <w:divsChild>
        <w:div w:id="77094532">
          <w:marLeft w:val="0"/>
          <w:marRight w:val="0"/>
          <w:marTop w:val="0"/>
          <w:marBottom w:val="180"/>
          <w:divBdr>
            <w:top w:val="none" w:sz="0" w:space="0" w:color="auto"/>
            <w:left w:val="none" w:sz="0" w:space="0" w:color="auto"/>
            <w:bottom w:val="none" w:sz="0" w:space="0" w:color="auto"/>
            <w:right w:val="none" w:sz="0" w:space="0" w:color="auto"/>
          </w:divBdr>
          <w:divsChild>
            <w:div w:id="862403480">
              <w:marLeft w:val="150"/>
              <w:marRight w:val="150"/>
              <w:marTop w:val="150"/>
              <w:marBottom w:val="150"/>
              <w:divBdr>
                <w:top w:val="none" w:sz="0" w:space="0" w:color="auto"/>
                <w:left w:val="none" w:sz="0" w:space="0" w:color="auto"/>
                <w:bottom w:val="none" w:sz="0" w:space="0" w:color="auto"/>
                <w:right w:val="none" w:sz="0" w:space="0" w:color="auto"/>
              </w:divBdr>
            </w:div>
            <w:div w:id="934050741">
              <w:marLeft w:val="1140"/>
              <w:marRight w:val="0"/>
              <w:marTop w:val="0"/>
              <w:marBottom w:val="210"/>
              <w:divBdr>
                <w:top w:val="none" w:sz="0" w:space="0" w:color="auto"/>
                <w:left w:val="none" w:sz="0" w:space="0" w:color="auto"/>
                <w:bottom w:val="none" w:sz="0" w:space="0" w:color="auto"/>
                <w:right w:val="none" w:sz="0" w:space="0" w:color="auto"/>
              </w:divBdr>
            </w:div>
          </w:divsChild>
        </w:div>
        <w:div w:id="1840079773">
          <w:marLeft w:val="150"/>
          <w:marRight w:val="150"/>
          <w:marTop w:val="150"/>
          <w:marBottom w:val="150"/>
          <w:divBdr>
            <w:top w:val="none" w:sz="0" w:space="0" w:color="auto"/>
            <w:left w:val="none" w:sz="0" w:space="0" w:color="auto"/>
            <w:bottom w:val="none" w:sz="0" w:space="0" w:color="auto"/>
            <w:right w:val="none" w:sz="0" w:space="0" w:color="auto"/>
          </w:divBdr>
          <w:divsChild>
            <w:div w:id="1189024335">
              <w:marLeft w:val="0"/>
              <w:marRight w:val="0"/>
              <w:marTop w:val="0"/>
              <w:marBottom w:val="147"/>
              <w:divBdr>
                <w:top w:val="none" w:sz="0" w:space="0" w:color="auto"/>
                <w:left w:val="none" w:sz="0" w:space="0" w:color="auto"/>
                <w:bottom w:val="none" w:sz="0" w:space="0" w:color="auto"/>
                <w:right w:val="none" w:sz="0" w:space="0" w:color="auto"/>
              </w:divBdr>
              <w:divsChild>
                <w:div w:id="9833877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it.eu/profiles/blog/list?user=052ay5x63pnbc" TargetMode="External"/><Relationship Id="rId13" Type="http://schemas.openxmlformats.org/officeDocument/2006/relationships/hyperlink" Target="https://linguacuisine.com/online-community/" TargetMode="Externa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storage.ning.com/topology/rest/1.0/file/get/137030902?profile=original" TargetMode="External"/><Relationship Id="rId7" Type="http://schemas.openxmlformats.org/officeDocument/2006/relationships/hyperlink" Target="http://www.unite-it.eu/profile/AchillesKameas" TargetMode="External"/><Relationship Id="rId12" Type="http://schemas.openxmlformats.org/officeDocument/2006/relationships/hyperlink" Target="https://linguacuisine.com/app/" TargetMode="External"/><Relationship Id="rId17" Type="http://schemas.openxmlformats.org/officeDocument/2006/relationships/hyperlink" Target="https://storage.ning.com/topology/rest/1.0/file/get/137030144?profile=original" TargetMode="External"/><Relationship Id="rId25" Type="http://schemas.openxmlformats.org/officeDocument/2006/relationships/hyperlink" Target="https://storage.ning.com/topology/rest/1.0/file/get/137030877?profile=origina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storage.ning.com/topology/rest/1.0/file/get/137031071?profile=origin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nguacuisine.com/"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hyperlink" Target="http://www.unite-it.eu/profile/AchillesKameas" TargetMode="External"/><Relationship Id="rId15" Type="http://schemas.openxmlformats.org/officeDocument/2006/relationships/hyperlink" Target="https://storage.ning.com/topology/rest/1.0/file/get/137029921?profile=original" TargetMode="External"/><Relationship Id="rId23" Type="http://schemas.openxmlformats.org/officeDocument/2006/relationships/hyperlink" Target="https://storage.ning.com/topology/rest/1.0/file/get/137030873?profile=original"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https://storage.ning.com/topology/rest/1.0/file/get/137030479?profile=origin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age.ning.com/topology/rest/1.0/file/get/137029710?profile=original" TargetMode="External"/><Relationship Id="rId14" Type="http://schemas.openxmlformats.org/officeDocument/2006/relationships/hyperlink" Target="http://daissy.eap.gr/en/" TargetMode="External"/><Relationship Id="rId22" Type="http://schemas.openxmlformats.org/officeDocument/2006/relationships/image" Target="media/image6.png"/><Relationship Id="rId27" Type="http://schemas.openxmlformats.org/officeDocument/2006/relationships/hyperlink" Target="https://storage.ning.com/topology/rest/1.0/file/get/137031010?profile=original"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LinguaCuisine: Certification of digital skills acquired through ... cooking</vt:lpstr>
      <vt:lpstr>        Dimension 1: Competence Areas</vt:lpstr>
      <vt:lpstr>        Dimension 2: Competences</vt:lpstr>
      <vt:lpstr>        Dimension 3: Proficiency Levels</vt:lpstr>
      <vt:lpstr>        Dimension 4: Knowledge, skills and attitudes applicable to each Competence</vt:lpstr>
      <vt:lpstr>        Dimension 5: Examples of use</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Hidson</dc:creator>
  <cp:keywords/>
  <dc:description/>
  <cp:lastModifiedBy>Elizabeth Hidson</cp:lastModifiedBy>
  <cp:revision>1</cp:revision>
  <dcterms:created xsi:type="dcterms:W3CDTF">2019-01-01T21:40:00Z</dcterms:created>
  <dcterms:modified xsi:type="dcterms:W3CDTF">2019-01-01T21:41:00Z</dcterms:modified>
</cp:coreProperties>
</file>