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1C9" w:rsidRDefault="004621C9" w:rsidP="007D6A21">
      <w:pPr>
        <w:jc w:val="center"/>
        <w:rPr>
          <w:sz w:val="32"/>
          <w:szCs w:val="32"/>
        </w:rPr>
      </w:pPr>
    </w:p>
    <w:p w:rsidR="00E56504" w:rsidRDefault="007D6A21" w:rsidP="007D6A21">
      <w:pPr>
        <w:jc w:val="center"/>
        <w:rPr>
          <w:sz w:val="32"/>
          <w:szCs w:val="32"/>
        </w:rPr>
      </w:pPr>
      <w:r w:rsidRPr="007D6A21">
        <w:rPr>
          <w:sz w:val="32"/>
          <w:szCs w:val="32"/>
        </w:rPr>
        <w:t>ΔΕΛΤΙΟ ΤΥΠΟΥ</w:t>
      </w:r>
    </w:p>
    <w:p w:rsidR="007D6A21" w:rsidRDefault="007D6A21" w:rsidP="004621C9">
      <w:pPr>
        <w:spacing w:line="240" w:lineRule="auto"/>
        <w:jc w:val="center"/>
        <w:rPr>
          <w:sz w:val="32"/>
          <w:szCs w:val="32"/>
        </w:rPr>
      </w:pPr>
    </w:p>
    <w:p w:rsidR="007D6A21" w:rsidRPr="0067073C" w:rsidRDefault="007D6A21" w:rsidP="004621C9">
      <w:pPr>
        <w:spacing w:line="240" w:lineRule="auto"/>
        <w:jc w:val="both"/>
        <w:rPr>
          <w:sz w:val="28"/>
          <w:szCs w:val="28"/>
        </w:rPr>
      </w:pPr>
      <w:r w:rsidRPr="00384FD9">
        <w:rPr>
          <w:b/>
          <w:sz w:val="28"/>
          <w:szCs w:val="28"/>
        </w:rPr>
        <w:t xml:space="preserve">Ημερίδα Διάχυσης Αποτελεσμάτων του Ευρωπαϊκού έργου </w:t>
      </w:r>
      <w:r w:rsidRPr="00384FD9">
        <w:rPr>
          <w:b/>
          <w:sz w:val="28"/>
          <w:szCs w:val="28"/>
          <w:lang w:val="en-US"/>
        </w:rPr>
        <w:t>Linguacuisine</w:t>
      </w:r>
      <w:r>
        <w:rPr>
          <w:sz w:val="28"/>
          <w:szCs w:val="28"/>
        </w:rPr>
        <w:t xml:space="preserve"> (</w:t>
      </w:r>
      <w:hyperlink r:id="rId6" w:history="1">
        <w:r w:rsidRPr="003A5DFC">
          <w:rPr>
            <w:rStyle w:val="Hyperlink"/>
            <w:sz w:val="28"/>
            <w:szCs w:val="28"/>
          </w:rPr>
          <w:t>https://linguacuisine.com/</w:t>
        </w:r>
      </w:hyperlink>
      <w:r>
        <w:rPr>
          <w:sz w:val="28"/>
          <w:szCs w:val="28"/>
        </w:rPr>
        <w:t xml:space="preserve">), στο πλαίσιο του προγράμματος </w:t>
      </w:r>
      <w:r>
        <w:rPr>
          <w:sz w:val="28"/>
          <w:szCs w:val="28"/>
          <w:lang w:val="en-US"/>
        </w:rPr>
        <w:t>Erasmus</w:t>
      </w:r>
      <w:r w:rsidRPr="007D6A21">
        <w:rPr>
          <w:sz w:val="28"/>
          <w:szCs w:val="28"/>
        </w:rPr>
        <w:t>+</w:t>
      </w:r>
      <w:r>
        <w:rPr>
          <w:sz w:val="28"/>
          <w:szCs w:val="28"/>
        </w:rPr>
        <w:t xml:space="preserve">, οργανώνεται από την ερευνητική ομάδα </w:t>
      </w:r>
      <w:r>
        <w:rPr>
          <w:sz w:val="28"/>
          <w:szCs w:val="28"/>
          <w:lang w:val="en-US"/>
        </w:rPr>
        <w:t>DAISSy</w:t>
      </w:r>
      <w:r w:rsidRPr="007D6A21">
        <w:rPr>
          <w:sz w:val="28"/>
          <w:szCs w:val="28"/>
        </w:rPr>
        <w:t>-</w:t>
      </w:r>
      <w:r>
        <w:rPr>
          <w:sz w:val="28"/>
          <w:szCs w:val="28"/>
          <w:lang w:val="en-US"/>
        </w:rPr>
        <w:t>Digital</w:t>
      </w:r>
      <w:r w:rsidRPr="007D6A21">
        <w:rPr>
          <w:sz w:val="28"/>
          <w:szCs w:val="28"/>
        </w:rPr>
        <w:t xml:space="preserve"> </w:t>
      </w:r>
      <w:r>
        <w:rPr>
          <w:sz w:val="28"/>
          <w:szCs w:val="28"/>
          <w:lang w:val="en-US"/>
        </w:rPr>
        <w:t>Ambient</w:t>
      </w:r>
      <w:r w:rsidRPr="007D6A21">
        <w:rPr>
          <w:sz w:val="28"/>
          <w:szCs w:val="28"/>
        </w:rPr>
        <w:t xml:space="preserve"> </w:t>
      </w:r>
      <w:r>
        <w:rPr>
          <w:sz w:val="28"/>
          <w:szCs w:val="28"/>
          <w:lang w:val="en-US"/>
        </w:rPr>
        <w:t>Intelligence</w:t>
      </w:r>
      <w:r w:rsidRPr="007D6A21">
        <w:rPr>
          <w:sz w:val="28"/>
          <w:szCs w:val="28"/>
        </w:rPr>
        <w:t xml:space="preserve"> </w:t>
      </w:r>
      <w:r>
        <w:rPr>
          <w:sz w:val="28"/>
          <w:szCs w:val="28"/>
          <w:lang w:val="en-US"/>
        </w:rPr>
        <w:t>Social</w:t>
      </w:r>
      <w:r w:rsidRPr="007D6A21">
        <w:rPr>
          <w:sz w:val="28"/>
          <w:szCs w:val="28"/>
        </w:rPr>
        <w:t xml:space="preserve"> </w:t>
      </w:r>
      <w:r>
        <w:rPr>
          <w:sz w:val="28"/>
          <w:szCs w:val="28"/>
          <w:lang w:val="en-US"/>
        </w:rPr>
        <w:t>Systems</w:t>
      </w:r>
      <w:r>
        <w:rPr>
          <w:sz w:val="28"/>
          <w:szCs w:val="28"/>
        </w:rPr>
        <w:t xml:space="preserve"> του Ελληνικού Ανοικτού Πανεπιστημίου, εταίρο του έργου </w:t>
      </w:r>
      <w:r>
        <w:rPr>
          <w:sz w:val="28"/>
          <w:szCs w:val="28"/>
          <w:lang w:val="en-US"/>
        </w:rPr>
        <w:t>Linguacuisine</w:t>
      </w:r>
      <w:r>
        <w:rPr>
          <w:sz w:val="28"/>
          <w:szCs w:val="28"/>
        </w:rPr>
        <w:t xml:space="preserve">, συντονιστής του οποίου είναι το </w:t>
      </w:r>
      <w:r>
        <w:rPr>
          <w:sz w:val="28"/>
          <w:szCs w:val="28"/>
          <w:lang w:val="en-US"/>
        </w:rPr>
        <w:t>Newcastle</w:t>
      </w:r>
      <w:r w:rsidRPr="007D6A21">
        <w:rPr>
          <w:sz w:val="28"/>
          <w:szCs w:val="28"/>
        </w:rPr>
        <w:t xml:space="preserve"> </w:t>
      </w:r>
      <w:r>
        <w:rPr>
          <w:sz w:val="28"/>
          <w:szCs w:val="28"/>
          <w:lang w:val="en-US"/>
        </w:rPr>
        <w:t>University</w:t>
      </w:r>
      <w:r w:rsidRPr="007D6A21">
        <w:rPr>
          <w:sz w:val="28"/>
          <w:szCs w:val="28"/>
        </w:rPr>
        <w:t xml:space="preserve"> </w:t>
      </w:r>
      <w:r>
        <w:rPr>
          <w:sz w:val="28"/>
          <w:szCs w:val="28"/>
        </w:rPr>
        <w:t>της Αγγλίας</w:t>
      </w:r>
      <w:r w:rsidRPr="007D6A21">
        <w:rPr>
          <w:sz w:val="28"/>
          <w:szCs w:val="28"/>
        </w:rPr>
        <w:t>.</w:t>
      </w:r>
      <w:r w:rsidR="0067073C">
        <w:rPr>
          <w:sz w:val="28"/>
          <w:szCs w:val="28"/>
        </w:rPr>
        <w:t xml:space="preserve"> Η Ημερίδα θα πραγματοποιηθεί στις </w:t>
      </w:r>
      <w:r w:rsidR="0067073C">
        <w:rPr>
          <w:b/>
          <w:sz w:val="28"/>
          <w:szCs w:val="28"/>
        </w:rPr>
        <w:t xml:space="preserve">20 Οκτωβρίου 2018, ώρα 16:00-22:00, </w:t>
      </w:r>
      <w:r w:rsidR="0067073C">
        <w:rPr>
          <w:sz w:val="28"/>
          <w:szCs w:val="28"/>
        </w:rPr>
        <w:t xml:space="preserve">στο ξενοδοχείο </w:t>
      </w:r>
      <w:r w:rsidR="0067073C">
        <w:rPr>
          <w:b/>
          <w:sz w:val="28"/>
          <w:szCs w:val="28"/>
          <w:lang w:val="en-US"/>
        </w:rPr>
        <w:t>Electra</w:t>
      </w:r>
      <w:r w:rsidR="0067073C" w:rsidRPr="0067073C">
        <w:rPr>
          <w:b/>
          <w:sz w:val="28"/>
          <w:szCs w:val="28"/>
        </w:rPr>
        <w:t xml:space="preserve"> </w:t>
      </w:r>
      <w:r w:rsidR="0067073C">
        <w:rPr>
          <w:b/>
          <w:sz w:val="28"/>
          <w:szCs w:val="28"/>
          <w:lang w:val="en-US"/>
        </w:rPr>
        <w:t>Hotel</w:t>
      </w:r>
      <w:r w:rsidR="0067073C" w:rsidRPr="0067073C">
        <w:rPr>
          <w:b/>
          <w:sz w:val="28"/>
          <w:szCs w:val="28"/>
        </w:rPr>
        <w:t xml:space="preserve"> </w:t>
      </w:r>
      <w:r w:rsidR="0067073C">
        <w:rPr>
          <w:b/>
          <w:sz w:val="28"/>
          <w:szCs w:val="28"/>
          <w:lang w:val="en-US"/>
        </w:rPr>
        <w:t>Athens</w:t>
      </w:r>
      <w:r w:rsidR="0067073C" w:rsidRPr="0067073C">
        <w:rPr>
          <w:sz w:val="28"/>
          <w:szCs w:val="28"/>
        </w:rPr>
        <w:t xml:space="preserve">, </w:t>
      </w:r>
      <w:r w:rsidR="0067073C">
        <w:rPr>
          <w:sz w:val="28"/>
          <w:szCs w:val="28"/>
        </w:rPr>
        <w:t xml:space="preserve">Ερμού 5, Αθήνα. </w:t>
      </w:r>
    </w:p>
    <w:p w:rsidR="007D6A21" w:rsidRPr="00384FD9" w:rsidRDefault="007D6A21" w:rsidP="007D6A21">
      <w:pPr>
        <w:jc w:val="both"/>
        <w:rPr>
          <w:sz w:val="28"/>
          <w:szCs w:val="28"/>
        </w:rPr>
      </w:pPr>
      <w:r>
        <w:rPr>
          <w:sz w:val="28"/>
          <w:szCs w:val="28"/>
        </w:rPr>
        <w:t xml:space="preserve">Το έργο </w:t>
      </w:r>
      <w:r>
        <w:rPr>
          <w:sz w:val="28"/>
          <w:szCs w:val="28"/>
          <w:lang w:val="en-US"/>
        </w:rPr>
        <w:t>Linguacuisine</w:t>
      </w:r>
      <w:r w:rsidRPr="007D6A21">
        <w:rPr>
          <w:sz w:val="28"/>
          <w:szCs w:val="28"/>
        </w:rPr>
        <w:t xml:space="preserve"> </w:t>
      </w:r>
      <w:r>
        <w:rPr>
          <w:sz w:val="28"/>
          <w:szCs w:val="28"/>
        </w:rPr>
        <w:t xml:space="preserve">προάγει την </w:t>
      </w:r>
      <w:r w:rsidRPr="00384FD9">
        <w:rPr>
          <w:b/>
          <w:sz w:val="28"/>
          <w:szCs w:val="28"/>
        </w:rPr>
        <w:t>ισότητα της πρόσβασης και της συμμετοχής στη μάθηση</w:t>
      </w:r>
      <w:r>
        <w:rPr>
          <w:sz w:val="28"/>
          <w:szCs w:val="28"/>
        </w:rPr>
        <w:t xml:space="preserve">, με έμφαση στην </w:t>
      </w:r>
      <w:r w:rsidRPr="00384FD9">
        <w:rPr>
          <w:b/>
          <w:sz w:val="28"/>
          <w:szCs w:val="28"/>
        </w:rPr>
        <w:t>ανάπτυξη ψηφιακών και γλωσσικών δεξιοτήτων</w:t>
      </w:r>
      <w:r>
        <w:rPr>
          <w:sz w:val="28"/>
          <w:szCs w:val="28"/>
        </w:rPr>
        <w:t xml:space="preserve">. </w:t>
      </w:r>
      <w:r w:rsidR="0067073C">
        <w:rPr>
          <w:sz w:val="28"/>
          <w:szCs w:val="28"/>
        </w:rPr>
        <w:t xml:space="preserve">Χρησιμοποιώντας μια συνδυαστική εκπαιδευτική μεθοδολογία, που προωθεί την εκμάθηση ξένης γλώσσας, τον ψηφιακό γραμματισμό και την διαπολιτισμική επικοινωνία μέσα από τη γαστρονομία, βοηθά στην κοινωνική ένταξη και τον μη αποκλεισμό, ειδικότερα, ατόμων χωρίς ή με ελάχιστες ψηφιακές δεξιότητες, ενώ παράλληλα ενισχύει τη δημιουργία </w:t>
      </w:r>
      <w:r w:rsidR="0067073C" w:rsidRPr="00384FD9">
        <w:rPr>
          <w:b/>
          <w:sz w:val="28"/>
          <w:szCs w:val="28"/>
          <w:lang w:val="en-US"/>
        </w:rPr>
        <w:t>online</w:t>
      </w:r>
      <w:r w:rsidR="0067073C" w:rsidRPr="00384FD9">
        <w:rPr>
          <w:b/>
          <w:sz w:val="28"/>
          <w:szCs w:val="28"/>
        </w:rPr>
        <w:t xml:space="preserve"> ψηφιακών κοινοτήτων</w:t>
      </w:r>
      <w:r w:rsidR="0067073C">
        <w:rPr>
          <w:sz w:val="28"/>
          <w:szCs w:val="28"/>
        </w:rPr>
        <w:t xml:space="preserve"> με κοινό τόπο τη μαγειρική.</w:t>
      </w:r>
      <w:r w:rsidR="00384FD9">
        <w:rPr>
          <w:sz w:val="28"/>
          <w:szCs w:val="28"/>
        </w:rPr>
        <w:t xml:space="preserve"> Επιπλέον στόχος του έργου είναι η </w:t>
      </w:r>
      <w:r w:rsidR="00384FD9" w:rsidRPr="00384FD9">
        <w:rPr>
          <w:b/>
          <w:sz w:val="28"/>
          <w:szCs w:val="28"/>
        </w:rPr>
        <w:t xml:space="preserve">δημιουργία εφαρμογών για </w:t>
      </w:r>
      <w:r w:rsidR="00384FD9" w:rsidRPr="00384FD9">
        <w:rPr>
          <w:b/>
          <w:sz w:val="28"/>
          <w:szCs w:val="28"/>
          <w:lang w:val="en-US"/>
        </w:rPr>
        <w:t>Android</w:t>
      </w:r>
      <w:r w:rsidR="00384FD9" w:rsidRPr="00384FD9">
        <w:rPr>
          <w:b/>
          <w:sz w:val="28"/>
          <w:szCs w:val="28"/>
        </w:rPr>
        <w:t xml:space="preserve"> και </w:t>
      </w:r>
      <w:r w:rsidR="00384FD9" w:rsidRPr="00384FD9">
        <w:rPr>
          <w:b/>
          <w:sz w:val="28"/>
          <w:szCs w:val="28"/>
          <w:lang w:val="en-US"/>
        </w:rPr>
        <w:t>iPhone</w:t>
      </w:r>
      <w:r w:rsidR="00384FD9">
        <w:rPr>
          <w:sz w:val="28"/>
          <w:szCs w:val="28"/>
        </w:rPr>
        <w:t xml:space="preserve"> για τη συγγραφή ψηφιακών συνταγών και την εκμάθηση έξι επίσημων γλωσσών της ΕΕ καθώς και η </w:t>
      </w:r>
      <w:r w:rsidR="00384FD9" w:rsidRPr="00384FD9">
        <w:rPr>
          <w:b/>
          <w:sz w:val="28"/>
          <w:szCs w:val="28"/>
        </w:rPr>
        <w:t>ανάπτυξη συστήματος πιστοποίησης για την ψηφιακή ικανότητα των χρηστών</w:t>
      </w:r>
      <w:r w:rsidR="00384FD9">
        <w:rPr>
          <w:sz w:val="28"/>
          <w:szCs w:val="28"/>
        </w:rPr>
        <w:t>.</w:t>
      </w:r>
    </w:p>
    <w:p w:rsidR="0067073C" w:rsidRDefault="0067073C" w:rsidP="007D6A21">
      <w:pPr>
        <w:jc w:val="both"/>
        <w:rPr>
          <w:rFonts w:cs="Arial"/>
          <w:color w:val="222222"/>
          <w:sz w:val="28"/>
          <w:szCs w:val="28"/>
          <w:shd w:val="clear" w:color="auto" w:fill="FFFFFF"/>
        </w:rPr>
      </w:pPr>
      <w:r>
        <w:rPr>
          <w:sz w:val="28"/>
          <w:szCs w:val="28"/>
        </w:rPr>
        <w:t xml:space="preserve">Στόχος της Ημερίδας είναι η διάχυση των αποτελεσμάτων του έργου </w:t>
      </w:r>
      <w:r w:rsidRPr="0067073C">
        <w:rPr>
          <w:sz w:val="28"/>
          <w:szCs w:val="28"/>
        </w:rPr>
        <w:t xml:space="preserve">στο ευρύ κοινό και η πρόσκληση </w:t>
      </w:r>
      <w:r w:rsidRPr="0067073C">
        <w:rPr>
          <w:rFonts w:cs="Arial"/>
          <w:color w:val="222222"/>
          <w:sz w:val="28"/>
          <w:szCs w:val="28"/>
          <w:shd w:val="clear" w:color="auto" w:fill="FFFFFF"/>
        </w:rPr>
        <w:t>σ</w:t>
      </w:r>
      <w:r w:rsidR="00A01DF3">
        <w:rPr>
          <w:rFonts w:cs="Arial"/>
          <w:color w:val="222222"/>
          <w:sz w:val="28"/>
          <w:szCs w:val="28"/>
          <w:shd w:val="clear" w:color="auto" w:fill="FFFFFF"/>
        </w:rPr>
        <w:t xml:space="preserve">ε συζήτηση για την καινοτόμα </w:t>
      </w:r>
      <w:r w:rsidRPr="0067073C">
        <w:rPr>
          <w:rFonts w:cs="Arial"/>
          <w:color w:val="222222"/>
          <w:sz w:val="28"/>
          <w:szCs w:val="28"/>
          <w:shd w:val="clear" w:color="auto" w:fill="FFFFFF"/>
        </w:rPr>
        <w:t>χρήση της ψηφιακής τεχνολογίας στη μαθησιακή διαδικασία και την ανάπτυξη των ψ</w:t>
      </w:r>
      <w:r w:rsidR="00A01DF3">
        <w:rPr>
          <w:rFonts w:cs="Arial"/>
          <w:color w:val="222222"/>
          <w:sz w:val="28"/>
          <w:szCs w:val="28"/>
          <w:shd w:val="clear" w:color="auto" w:fill="FFFFFF"/>
        </w:rPr>
        <w:t>ηφιακών δεξιοτήτων μέσα από δημιουργικές δραστηριότητες.</w:t>
      </w:r>
    </w:p>
    <w:p w:rsidR="00384FD9" w:rsidRDefault="00A01DF3" w:rsidP="007D6A21">
      <w:pPr>
        <w:jc w:val="both"/>
        <w:rPr>
          <w:rFonts w:cs="Arial"/>
          <w:color w:val="222222"/>
          <w:sz w:val="28"/>
          <w:szCs w:val="28"/>
          <w:shd w:val="clear" w:color="auto" w:fill="FFFFFF"/>
        </w:rPr>
      </w:pPr>
      <w:r>
        <w:rPr>
          <w:rFonts w:cs="Arial"/>
          <w:color w:val="222222"/>
          <w:sz w:val="28"/>
          <w:szCs w:val="28"/>
          <w:shd w:val="clear" w:color="auto" w:fill="FFFFFF"/>
        </w:rPr>
        <w:t xml:space="preserve">Για περισσότερες πληροφορίες σχετικά με το ερευνητικό έργο της ομάδας </w:t>
      </w:r>
      <w:r>
        <w:rPr>
          <w:rFonts w:cs="Arial"/>
          <w:color w:val="222222"/>
          <w:sz w:val="28"/>
          <w:szCs w:val="28"/>
          <w:shd w:val="clear" w:color="auto" w:fill="FFFFFF"/>
          <w:lang w:val="en-US"/>
        </w:rPr>
        <w:t>DAISSy</w:t>
      </w:r>
      <w:r>
        <w:rPr>
          <w:rFonts w:cs="Arial"/>
          <w:color w:val="222222"/>
          <w:sz w:val="28"/>
          <w:szCs w:val="28"/>
          <w:shd w:val="clear" w:color="auto" w:fill="FFFFFF"/>
        </w:rPr>
        <w:t xml:space="preserve"> </w:t>
      </w:r>
      <w:r w:rsidR="00384FD9">
        <w:rPr>
          <w:rFonts w:cs="Arial"/>
          <w:color w:val="222222"/>
          <w:sz w:val="28"/>
          <w:szCs w:val="28"/>
          <w:shd w:val="clear" w:color="auto" w:fill="FFFFFF"/>
        </w:rPr>
        <w:t xml:space="preserve">μπορείτε να επισκεφτείτε την ιστοσελίδα: </w:t>
      </w:r>
      <w:hyperlink r:id="rId7" w:history="1">
        <w:r w:rsidR="00384FD9" w:rsidRPr="003A5DFC">
          <w:rPr>
            <w:rStyle w:val="Hyperlink"/>
            <w:rFonts w:cs="Arial"/>
            <w:sz w:val="28"/>
            <w:szCs w:val="28"/>
            <w:shd w:val="clear" w:color="auto" w:fill="FFFFFF"/>
          </w:rPr>
          <w:t>http://daissy.eap.gr/en/</w:t>
        </w:r>
      </w:hyperlink>
      <w:r w:rsidR="00384FD9">
        <w:rPr>
          <w:rFonts w:cs="Arial"/>
          <w:color w:val="222222"/>
          <w:sz w:val="28"/>
          <w:szCs w:val="28"/>
          <w:shd w:val="clear" w:color="auto" w:fill="FFFFFF"/>
        </w:rPr>
        <w:t xml:space="preserve"> </w:t>
      </w:r>
    </w:p>
    <w:p w:rsidR="00A01DF3" w:rsidRPr="00A01DF3" w:rsidRDefault="00384FD9" w:rsidP="007D6A21">
      <w:pPr>
        <w:jc w:val="both"/>
        <w:rPr>
          <w:sz w:val="28"/>
          <w:szCs w:val="28"/>
        </w:rPr>
      </w:pPr>
      <w:r>
        <w:rPr>
          <w:rFonts w:cs="Arial"/>
          <w:color w:val="222222"/>
          <w:sz w:val="28"/>
          <w:szCs w:val="28"/>
          <w:shd w:val="clear" w:color="auto" w:fill="FFFFFF"/>
        </w:rPr>
        <w:t xml:space="preserve"> </w:t>
      </w:r>
    </w:p>
    <w:sectPr w:rsidR="00A01DF3" w:rsidRPr="00A01DF3" w:rsidSect="004621C9">
      <w:headerReference w:type="default" r:id="rId8"/>
      <w:footerReference w:type="default" r:id="rId9"/>
      <w:pgSz w:w="11906" w:h="16838"/>
      <w:pgMar w:top="1440" w:right="1797" w:bottom="1440" w:left="1797" w:header="284" w:footer="7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4E10" w:rsidRDefault="00BD4E10" w:rsidP="004621C9">
      <w:pPr>
        <w:spacing w:after="0" w:line="240" w:lineRule="auto"/>
      </w:pPr>
      <w:r>
        <w:separator/>
      </w:r>
    </w:p>
  </w:endnote>
  <w:endnote w:type="continuationSeparator" w:id="1">
    <w:p w:rsidR="00BD4E10" w:rsidRDefault="00BD4E10" w:rsidP="004621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Arial">
    <w:panose1 w:val="020B0604020202020204"/>
    <w:charset w:val="A1"/>
    <w:family w:val="swiss"/>
    <w:pitch w:val="variable"/>
    <w:sig w:usb0="20002A87" w:usb1="80000000" w:usb2="00000008" w:usb3="00000000" w:csb0="000001FF" w:csb1="00000000"/>
  </w:font>
  <w:font w:name="Open Sans">
    <w:altName w:val="DejaVu Sans Condensed"/>
    <w:charset w:val="A1"/>
    <w:family w:val="swiss"/>
    <w:pitch w:val="variable"/>
    <w:sig w:usb0="00000001" w:usb1="4000205B" w:usb2="00000028" w:usb3="00000000" w:csb0="0000019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931"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78"/>
      <w:gridCol w:w="5953"/>
    </w:tblGrid>
    <w:tr w:rsidR="004621C9" w:rsidTr="00691F98">
      <w:tc>
        <w:tcPr>
          <w:tcW w:w="2978" w:type="dxa"/>
        </w:tcPr>
        <w:p w:rsidR="004621C9" w:rsidRDefault="004621C9" w:rsidP="00691F98">
          <w:pPr>
            <w:jc w:val="center"/>
            <w:rPr>
              <w:rFonts w:ascii="Open Sans" w:eastAsia="Calibri" w:hAnsi="Open Sans" w:cs="Open Sans"/>
              <w:b/>
              <w:bCs/>
              <w:sz w:val="19"/>
              <w:szCs w:val="19"/>
              <w:lang w:val="el-GR"/>
            </w:rPr>
          </w:pPr>
          <w:r w:rsidRPr="009731E8">
            <w:rPr>
              <w:rFonts w:ascii="Open Sans" w:eastAsia="Calibri" w:hAnsi="Open Sans" w:cs="Open Sans"/>
              <w:noProof/>
              <w:color w:val="0047AA"/>
              <w:sz w:val="16"/>
              <w:szCs w:val="16"/>
              <w:lang w:eastAsia="el-GR"/>
            </w:rPr>
            <w:drawing>
              <wp:inline distT="0" distB="0" distL="0" distR="0">
                <wp:extent cx="1724660" cy="577850"/>
                <wp:effectExtent l="0" t="0" r="0" b="0"/>
                <wp:docPr id="5" name="Εικόνα 7"/>
                <wp:cNvGraphicFramePr/>
                <a:graphic xmlns:a="http://schemas.openxmlformats.org/drawingml/2006/main">
                  <a:graphicData uri="http://schemas.openxmlformats.org/drawingml/2006/picture">
                    <pic:pic xmlns:pic="http://schemas.openxmlformats.org/drawingml/2006/picture">
                      <pic:nvPicPr>
                        <pic:cNvPr id="16" name="Image 5"/>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724660" cy="577850"/>
                        </a:xfrm>
                        <a:prstGeom prst="rect">
                          <a:avLst/>
                        </a:prstGeom>
                      </pic:spPr>
                    </pic:pic>
                  </a:graphicData>
                </a:graphic>
              </wp:inline>
            </w:drawing>
          </w:r>
        </w:p>
      </w:tc>
      <w:tc>
        <w:tcPr>
          <w:tcW w:w="5953" w:type="dxa"/>
        </w:tcPr>
        <w:p w:rsidR="004621C9" w:rsidRPr="00EF424E" w:rsidRDefault="004621C9" w:rsidP="00691F98">
          <w:pPr>
            <w:ind w:right="-17"/>
            <w:jc w:val="both"/>
            <w:rPr>
              <w:rFonts w:ascii="Open Sans" w:eastAsia="Calibri" w:hAnsi="Open Sans" w:cs="Open Sans"/>
              <w:color w:val="0047AA"/>
              <w:sz w:val="14"/>
              <w:szCs w:val="14"/>
              <w:lang w:val="el-GR"/>
            </w:rPr>
          </w:pPr>
          <w:r w:rsidRPr="00EF424E">
            <w:rPr>
              <w:rFonts w:ascii="Calibri" w:hAnsi="Calibri" w:cs="Arial"/>
              <w:i/>
              <w:iCs/>
              <w:color w:val="1F497D"/>
              <w:sz w:val="14"/>
              <w:szCs w:val="14"/>
              <w:shd w:val="clear" w:color="auto" w:fill="FFFFFF"/>
              <w:lang w:val="el-GR"/>
            </w:rPr>
            <w:t>Το σχέδιο αυτό χρηματοδοτήθηκε με την υποστήριξη της Ευρωπαϊκής Επιτροπής. Η υποστήριξη της Ευρωπαϊκής Επιτροπής για την παραγωγή της παρούσας δημοσίευσης</w:t>
          </w:r>
          <w:r w:rsidRPr="00EF424E">
            <w:rPr>
              <w:rFonts w:ascii="Calibri" w:hAnsi="Calibri" w:cs="Arial"/>
              <w:i/>
              <w:iCs/>
              <w:color w:val="1F497D"/>
              <w:sz w:val="14"/>
              <w:szCs w:val="14"/>
              <w:shd w:val="clear" w:color="auto" w:fill="FFFFFF"/>
            </w:rPr>
            <w:t> </w:t>
          </w:r>
          <w:r w:rsidRPr="00EF424E">
            <w:rPr>
              <w:rFonts w:ascii="Calibri" w:hAnsi="Calibri" w:cs="Arial"/>
              <w:i/>
              <w:iCs/>
              <w:color w:val="1F497D"/>
              <w:sz w:val="14"/>
              <w:szCs w:val="14"/>
              <w:shd w:val="clear" w:color="auto" w:fill="FFFFFF"/>
              <w:lang w:val="el-GR"/>
            </w:rPr>
            <w:t xml:space="preserve"> δεν συνιστά αποδοχή των περιεχομένων, τα οποία αντανακλούν τις απόψεις μόνο των συντακτών της και η Επιτροπή δεν ευθύνεται για τυχόν χρήση των πληροφοριών που περιέχονται σε αυτήν.</w:t>
          </w:r>
          <w:r w:rsidRPr="00EF424E">
            <w:rPr>
              <w:rFonts w:ascii="Open Sans" w:eastAsia="Calibri" w:hAnsi="Open Sans" w:cs="Open Sans"/>
              <w:color w:val="0047AA"/>
              <w:sz w:val="14"/>
              <w:szCs w:val="14"/>
              <w:lang w:val="el-GR"/>
            </w:rPr>
            <w:t xml:space="preserve"> </w:t>
          </w:r>
        </w:p>
        <w:p w:rsidR="004621C9" w:rsidRPr="00964C95" w:rsidRDefault="004621C9" w:rsidP="00691F98">
          <w:pPr>
            <w:tabs>
              <w:tab w:val="left" w:pos="3619"/>
              <w:tab w:val="left" w:pos="6286"/>
            </w:tabs>
            <w:ind w:right="-17"/>
            <w:rPr>
              <w:rFonts w:ascii="Open Sans" w:eastAsia="Calibri" w:hAnsi="Open Sans" w:cs="Open Sans"/>
              <w:color w:val="0047AA"/>
              <w:sz w:val="14"/>
              <w:szCs w:val="16"/>
              <w:lang w:val="el-GR"/>
            </w:rPr>
          </w:pPr>
          <w:r w:rsidRPr="00EF424E">
            <w:rPr>
              <w:rFonts w:ascii="Calibri" w:hAnsi="Calibri" w:cs="Arial"/>
              <w:b/>
              <w:bCs/>
              <w:i/>
              <w:iCs/>
              <w:color w:val="1F497D"/>
              <w:sz w:val="14"/>
              <w:szCs w:val="14"/>
              <w:shd w:val="clear" w:color="auto" w:fill="FFFFFF"/>
            </w:rPr>
            <w:t>Αρ. Έργου: 2016-1-UK01-KA204-024254</w:t>
          </w:r>
        </w:p>
      </w:tc>
    </w:tr>
  </w:tbl>
  <w:p w:rsidR="004621C9" w:rsidRDefault="004621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4E10" w:rsidRDefault="00BD4E10" w:rsidP="004621C9">
      <w:pPr>
        <w:spacing w:after="0" w:line="240" w:lineRule="auto"/>
      </w:pPr>
      <w:r>
        <w:separator/>
      </w:r>
    </w:p>
  </w:footnote>
  <w:footnote w:type="continuationSeparator" w:id="1">
    <w:p w:rsidR="00BD4E10" w:rsidRDefault="00BD4E10" w:rsidP="004621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75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13"/>
      <w:gridCol w:w="3523"/>
      <w:gridCol w:w="3019"/>
    </w:tblGrid>
    <w:tr w:rsidR="004621C9" w:rsidTr="00691F98">
      <w:trPr>
        <w:trHeight w:val="866"/>
        <w:jc w:val="center"/>
      </w:trPr>
      <w:tc>
        <w:tcPr>
          <w:tcW w:w="2213" w:type="dxa"/>
          <w:vAlign w:val="center"/>
        </w:tcPr>
        <w:p w:rsidR="004621C9" w:rsidRDefault="004621C9" w:rsidP="00691F98">
          <w:pPr>
            <w:pStyle w:val="Header"/>
            <w:jc w:val="center"/>
            <w:rPr>
              <w:lang w:val="el-GR"/>
            </w:rPr>
          </w:pPr>
          <w:r>
            <w:rPr>
              <w:noProof/>
              <w:lang w:eastAsia="el-GR"/>
            </w:rPr>
            <w:drawing>
              <wp:inline distT="0" distB="0" distL="0" distR="0">
                <wp:extent cx="919851" cy="627695"/>
                <wp:effectExtent l="19050" t="0" r="0" b="0"/>
                <wp:docPr id="1" name="Picture 14" descr="logo_DAISSy_EAP_lektik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DAISSy_EAP_lektiko.png"/>
                        <pic:cNvPicPr/>
                      </pic:nvPicPr>
                      <pic:blipFill>
                        <a:blip r:embed="rId1"/>
                        <a:stretch>
                          <a:fillRect/>
                        </a:stretch>
                      </pic:blipFill>
                      <pic:spPr>
                        <a:xfrm>
                          <a:off x="0" y="0"/>
                          <a:ext cx="924158" cy="630634"/>
                        </a:xfrm>
                        <a:prstGeom prst="rect">
                          <a:avLst/>
                        </a:prstGeom>
                      </pic:spPr>
                    </pic:pic>
                  </a:graphicData>
                </a:graphic>
              </wp:inline>
            </w:drawing>
          </w:r>
        </w:p>
      </w:tc>
      <w:tc>
        <w:tcPr>
          <w:tcW w:w="3523" w:type="dxa"/>
          <w:vAlign w:val="center"/>
        </w:tcPr>
        <w:p w:rsidR="004621C9" w:rsidRDefault="004621C9" w:rsidP="00691F98">
          <w:pPr>
            <w:pStyle w:val="Header"/>
            <w:jc w:val="center"/>
            <w:rPr>
              <w:lang w:val="el-GR"/>
            </w:rPr>
          </w:pPr>
          <w:r w:rsidRPr="003340F9">
            <w:rPr>
              <w:noProof/>
              <w:lang w:eastAsia="el-GR"/>
            </w:rPr>
            <w:drawing>
              <wp:inline distT="0" distB="0" distL="0" distR="0">
                <wp:extent cx="1750442" cy="763830"/>
                <wp:effectExtent l="19050" t="0" r="2158"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t="8497" r="68160" b="72985"/>
                        <a:stretch>
                          <a:fillRect/>
                        </a:stretch>
                      </pic:blipFill>
                      <pic:spPr bwMode="auto">
                        <a:xfrm>
                          <a:off x="0" y="0"/>
                          <a:ext cx="1752661" cy="764798"/>
                        </a:xfrm>
                        <a:prstGeom prst="rect">
                          <a:avLst/>
                        </a:prstGeom>
                        <a:noFill/>
                        <a:ln w="9525">
                          <a:noFill/>
                          <a:miter lim="800000"/>
                          <a:headEnd/>
                          <a:tailEnd/>
                        </a:ln>
                      </pic:spPr>
                    </pic:pic>
                  </a:graphicData>
                </a:graphic>
              </wp:inline>
            </w:drawing>
          </w:r>
        </w:p>
      </w:tc>
      <w:tc>
        <w:tcPr>
          <w:tcW w:w="3019" w:type="dxa"/>
          <w:vAlign w:val="center"/>
        </w:tcPr>
        <w:p w:rsidR="004621C9" w:rsidRDefault="004621C9" w:rsidP="00691F98">
          <w:pPr>
            <w:pStyle w:val="Header"/>
            <w:jc w:val="center"/>
            <w:rPr>
              <w:lang w:val="el-GR"/>
            </w:rPr>
          </w:pPr>
          <w:r>
            <w:rPr>
              <w:noProof/>
              <w:lang w:eastAsia="el-GR"/>
            </w:rPr>
            <w:drawing>
              <wp:inline distT="0" distB="0" distL="0" distR="0">
                <wp:extent cx="1526875" cy="596261"/>
                <wp:effectExtent l="19050" t="0" r="0" b="0"/>
                <wp:docPr id="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24565" cy="595359"/>
                        </a:xfrm>
                        <a:prstGeom prst="rect">
                          <a:avLst/>
                        </a:prstGeom>
                      </pic:spPr>
                    </pic:pic>
                  </a:graphicData>
                </a:graphic>
              </wp:inline>
            </w:drawing>
          </w:r>
        </w:p>
      </w:tc>
    </w:tr>
  </w:tbl>
  <w:p w:rsidR="004621C9" w:rsidRDefault="004621C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7D6A21"/>
    <w:rsid w:val="00052040"/>
    <w:rsid w:val="003043E5"/>
    <w:rsid w:val="00384FD9"/>
    <w:rsid w:val="004252AD"/>
    <w:rsid w:val="004621C9"/>
    <w:rsid w:val="0057144A"/>
    <w:rsid w:val="0059110E"/>
    <w:rsid w:val="0067073C"/>
    <w:rsid w:val="007D6A21"/>
    <w:rsid w:val="008B0277"/>
    <w:rsid w:val="00A01DF3"/>
    <w:rsid w:val="00BD4E10"/>
    <w:rsid w:val="00CE741C"/>
    <w:rsid w:val="00D42ED6"/>
    <w:rsid w:val="00FF5D9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3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6A21"/>
    <w:rPr>
      <w:color w:val="0000FF" w:themeColor="hyperlink"/>
      <w:u w:val="single"/>
    </w:rPr>
  </w:style>
  <w:style w:type="character" w:styleId="Strong">
    <w:name w:val="Strong"/>
    <w:basedOn w:val="DefaultParagraphFont"/>
    <w:uiPriority w:val="22"/>
    <w:qFormat/>
    <w:rsid w:val="007D6A21"/>
    <w:rPr>
      <w:b/>
      <w:bCs/>
    </w:rPr>
  </w:style>
  <w:style w:type="character" w:customStyle="1" w:styleId="apple-converted-space">
    <w:name w:val="apple-converted-space"/>
    <w:basedOn w:val="DefaultParagraphFont"/>
    <w:rsid w:val="007D6A21"/>
  </w:style>
  <w:style w:type="paragraph" w:styleId="Header">
    <w:name w:val="header"/>
    <w:basedOn w:val="Normal"/>
    <w:link w:val="HeaderChar"/>
    <w:uiPriority w:val="99"/>
    <w:unhideWhenUsed/>
    <w:rsid w:val="004621C9"/>
    <w:pPr>
      <w:tabs>
        <w:tab w:val="center" w:pos="4153"/>
        <w:tab w:val="right" w:pos="8306"/>
      </w:tabs>
      <w:spacing w:after="0" w:line="240" w:lineRule="auto"/>
    </w:pPr>
  </w:style>
  <w:style w:type="character" w:customStyle="1" w:styleId="HeaderChar">
    <w:name w:val="Header Char"/>
    <w:basedOn w:val="DefaultParagraphFont"/>
    <w:link w:val="Header"/>
    <w:uiPriority w:val="99"/>
    <w:rsid w:val="004621C9"/>
  </w:style>
  <w:style w:type="paragraph" w:styleId="Footer">
    <w:name w:val="footer"/>
    <w:basedOn w:val="Normal"/>
    <w:link w:val="FooterChar"/>
    <w:uiPriority w:val="99"/>
    <w:semiHidden/>
    <w:unhideWhenUsed/>
    <w:rsid w:val="004621C9"/>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4621C9"/>
  </w:style>
  <w:style w:type="table" w:styleId="TableGrid">
    <w:name w:val="Table Grid"/>
    <w:basedOn w:val="TableNormal"/>
    <w:uiPriority w:val="59"/>
    <w:rsid w:val="004621C9"/>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621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21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daissy.eap.gr/e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nguacuisine.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274</Words>
  <Characters>1485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2018-10-16T12:14:00Z</dcterms:created>
  <dcterms:modified xsi:type="dcterms:W3CDTF">2018-10-16T13:53:00Z</dcterms:modified>
</cp:coreProperties>
</file>